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70"/>
      </w:tblGrid>
      <w:tr w:rsidR="00772152" w14:paraId="135E7955" w14:textId="77777777" w:rsidTr="00E9541B">
        <w:tc>
          <w:tcPr>
            <w:tcW w:w="5000" w:type="pct"/>
            <w:gridSpan w:val="2"/>
            <w:tcMar>
              <w:left w:w="0" w:type="dxa"/>
              <w:right w:w="0" w:type="dxa"/>
            </w:tcMar>
          </w:tcPr>
          <w:p w14:paraId="07423E58" w14:textId="77777777" w:rsidR="00772152" w:rsidRPr="00E96479" w:rsidRDefault="00772152" w:rsidP="00E96479">
            <w:pPr>
              <w:pStyle w:val="Title"/>
            </w:pPr>
            <w:r>
              <w:rPr>
                <w:noProof/>
                <w:lang w:eastAsia="en-AU"/>
              </w:rPr>
              <w:drawing>
                <wp:inline distT="0" distB="0" distL="0" distR="0" wp14:anchorId="3CE44846" wp14:editId="1CB57156">
                  <wp:extent cx="6824112" cy="121613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ard Legislaion Update.tif"/>
                          <pic:cNvPicPr/>
                        </pic:nvPicPr>
                        <pic:blipFill rotWithShape="1">
                          <a:blip r:embed="rId8" cstate="print">
                            <a:extLst>
                              <a:ext uri="{28A0092B-C50C-407E-A947-70E740481C1C}">
                                <a14:useLocalDpi xmlns:a14="http://schemas.microsoft.com/office/drawing/2010/main" val="0"/>
                              </a:ext>
                            </a:extLst>
                          </a:blip>
                          <a:srcRect l="5655" t="-770" b="16127"/>
                          <a:stretch/>
                        </pic:blipFill>
                        <pic:spPr bwMode="auto">
                          <a:xfrm>
                            <a:off x="0" y="0"/>
                            <a:ext cx="6904260" cy="1230413"/>
                          </a:xfrm>
                          <a:prstGeom prst="rect">
                            <a:avLst/>
                          </a:prstGeom>
                          <a:ln>
                            <a:noFill/>
                          </a:ln>
                          <a:extLst>
                            <a:ext uri="{53640926-AAD7-44D8-BBD7-CCE9431645EC}">
                              <a14:shadowObscured xmlns:a14="http://schemas.microsoft.com/office/drawing/2010/main"/>
                            </a:ext>
                          </a:extLst>
                        </pic:spPr>
                      </pic:pic>
                    </a:graphicData>
                  </a:graphic>
                </wp:inline>
              </w:drawing>
            </w:r>
          </w:p>
        </w:tc>
      </w:tr>
      <w:tr w:rsidR="00DF4505" w14:paraId="758EC5CF" w14:textId="77777777" w:rsidTr="00E9541B">
        <w:tc>
          <w:tcPr>
            <w:tcW w:w="1579" w:type="pct"/>
          </w:tcPr>
          <w:p w14:paraId="2A6170AC" w14:textId="77777777" w:rsidR="00785F19" w:rsidRDefault="00D928DD" w:rsidP="008C2FAF">
            <w:pPr>
              <w:spacing w:after="240"/>
            </w:pPr>
            <w:r>
              <w:rPr>
                <w:noProof/>
                <w:lang w:eastAsia="en-AU"/>
              </w:rPr>
              <w:drawing>
                <wp:inline distT="0" distB="0" distL="0" distR="0" wp14:anchorId="77C9A3CA" wp14:editId="0D9D7B64">
                  <wp:extent cx="1168400" cy="89002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_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400" cy="890020"/>
                          </a:xfrm>
                          <a:prstGeom prst="rect">
                            <a:avLst/>
                          </a:prstGeom>
                        </pic:spPr>
                      </pic:pic>
                    </a:graphicData>
                  </a:graphic>
                </wp:inline>
              </w:drawing>
            </w:r>
          </w:p>
        </w:tc>
        <w:tc>
          <w:tcPr>
            <w:tcW w:w="3421" w:type="pct"/>
            <w:vAlign w:val="bottom"/>
          </w:tcPr>
          <w:p w14:paraId="772C3233" w14:textId="7A7E240F" w:rsidR="00785F19" w:rsidRPr="00E96479" w:rsidRDefault="00EE3B4C" w:rsidP="00E96479">
            <w:pPr>
              <w:pStyle w:val="Title"/>
            </w:pPr>
            <w:r>
              <w:t xml:space="preserve">COVID-19 (Novel Coronavirus) </w:t>
            </w:r>
          </w:p>
        </w:tc>
      </w:tr>
    </w:tbl>
    <w:p w14:paraId="01479D00" w14:textId="77777777" w:rsidR="00E9541B" w:rsidRPr="00E9541B" w:rsidRDefault="00E9541B" w:rsidP="00E9541B">
      <w:pPr>
        <w:spacing w:after="0" w:line="240" w:lineRule="auto"/>
        <w:rPr>
          <w:sz w:val="8"/>
          <w:szCs w:val="8"/>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3116"/>
        <w:gridCol w:w="7378"/>
      </w:tblGrid>
      <w:tr w:rsidR="00111811" w:rsidRPr="00785F19" w14:paraId="257AAAD9" w14:textId="77777777" w:rsidTr="00E9541B">
        <w:tc>
          <w:tcPr>
            <w:tcW w:w="1579" w:type="pct"/>
            <w:gridSpan w:val="2"/>
          </w:tcPr>
          <w:p w14:paraId="335EB3C9" w14:textId="77777777" w:rsidR="00105755" w:rsidRPr="00785F19" w:rsidRDefault="00105755" w:rsidP="00953090">
            <w:pPr>
              <w:pStyle w:val="WebsiteLink"/>
              <w:rPr>
                <w:b/>
              </w:rPr>
            </w:pPr>
          </w:p>
        </w:tc>
        <w:tc>
          <w:tcPr>
            <w:tcW w:w="3421" w:type="pct"/>
          </w:tcPr>
          <w:p w14:paraId="5323F4FF" w14:textId="048384D5" w:rsidR="00105755" w:rsidRPr="00CF1329" w:rsidRDefault="00EE3B4C" w:rsidP="00CF1329">
            <w:pPr>
              <w:pStyle w:val="Date"/>
              <w:rPr>
                <w:rStyle w:val="Hyperlink"/>
                <w:color w:val="2E5577"/>
                <w:u w:val="none"/>
              </w:rPr>
            </w:pPr>
            <w:r>
              <w:t xml:space="preserve">Wednesday </w:t>
            </w:r>
            <w:r w:rsidR="00E9715C">
              <w:t xml:space="preserve">18 May </w:t>
            </w:r>
            <w:r w:rsidR="00C7027C">
              <w:t>202</w:t>
            </w:r>
            <w:r w:rsidR="001B1E54">
              <w:t>2</w:t>
            </w:r>
          </w:p>
        </w:tc>
      </w:tr>
      <w:tr w:rsidR="00105755" w14:paraId="367504F3" w14:textId="77777777" w:rsidTr="00E9541B">
        <w:tc>
          <w:tcPr>
            <w:tcW w:w="5000" w:type="pct"/>
            <w:gridSpan w:val="3"/>
            <w:tcMar>
              <w:bottom w:w="113" w:type="dxa"/>
            </w:tcMar>
          </w:tcPr>
          <w:p w14:paraId="6DF91EA5" w14:textId="70377E09" w:rsidR="00EE3B4C" w:rsidRDefault="00105755" w:rsidP="00953090">
            <w:pPr>
              <w:pStyle w:val="BodyText"/>
            </w:pPr>
            <w:r w:rsidRPr="00D928DD">
              <w:t xml:space="preserve">Please find below </w:t>
            </w:r>
            <w:r w:rsidRPr="00032220">
              <w:t xml:space="preserve">a </w:t>
            </w:r>
            <w:r w:rsidR="00EE3B4C">
              <w:t>selection of</w:t>
            </w:r>
            <w:r w:rsidRPr="00032220">
              <w:t xml:space="preserve"> </w:t>
            </w:r>
            <w:r w:rsidR="00E71250">
              <w:t xml:space="preserve">recent </w:t>
            </w:r>
            <w:r w:rsidR="00EE3B4C">
              <w:t xml:space="preserve">legislation changes </w:t>
            </w:r>
            <w:r w:rsidR="00674A98">
              <w:t xml:space="preserve">relating to COVID-19 </w:t>
            </w:r>
            <w:r w:rsidR="00EE3B4C">
              <w:t xml:space="preserve">and </w:t>
            </w:r>
            <w:r w:rsidR="00674A98">
              <w:t>communications</w:t>
            </w:r>
            <w:r w:rsidR="00EE3B4C">
              <w:t xml:space="preserve"> for workplaces from </w:t>
            </w:r>
            <w:r w:rsidR="00A561E7">
              <w:t xml:space="preserve">key </w:t>
            </w:r>
            <w:r w:rsidR="00EE3B4C">
              <w:t xml:space="preserve">safety and environmental regulators </w:t>
            </w:r>
            <w:r w:rsidRPr="00D928DD">
              <w:t xml:space="preserve">in Australia and New Zealand. </w:t>
            </w:r>
          </w:p>
          <w:p w14:paraId="0E1D49C1" w14:textId="77777777" w:rsidR="00105755" w:rsidRDefault="00105755" w:rsidP="00EE3B4C">
            <w:pPr>
              <w:pStyle w:val="BodyText"/>
            </w:pPr>
            <w:r w:rsidRPr="00D928DD">
              <w:t xml:space="preserve">This </w:t>
            </w:r>
            <w:r w:rsidR="00A561E7">
              <w:t>update</w:t>
            </w:r>
            <w:r w:rsidRPr="00D928DD">
              <w:t xml:space="preserve"> </w:t>
            </w:r>
            <w:r w:rsidR="00EE3B4C">
              <w:t xml:space="preserve">is intended to be </w:t>
            </w:r>
            <w:r w:rsidRPr="00D928DD">
              <w:t>provid</w:t>
            </w:r>
            <w:r w:rsidR="00EE3B4C">
              <w:t>ed on a weekly basis.</w:t>
            </w:r>
          </w:p>
          <w:p w14:paraId="4171D216" w14:textId="2BFEFCFA" w:rsidR="00B763AB" w:rsidRPr="00E47657" w:rsidRDefault="00B763AB" w:rsidP="00B763AB">
            <w:pPr>
              <w:rPr>
                <w:rFonts w:ascii="Arial" w:eastAsia="MS Mincho" w:hAnsi="Arial" w:cs="Times New Roman"/>
                <w:color w:val="333333"/>
                <w:sz w:val="20"/>
              </w:rPr>
            </w:pPr>
            <w:r w:rsidRPr="00E47657">
              <w:rPr>
                <w:rFonts w:ascii="Arial" w:eastAsia="MS Mincho" w:hAnsi="Arial" w:cs="Times New Roman"/>
                <w:color w:val="333333"/>
                <w:sz w:val="20"/>
              </w:rPr>
              <w:t>The legislation in this update was current at time of release. Legislation around COVID-19 is being frequently updated and revoked. The URLs provided may no longer be maintained by the relevant legislation website, after the release date.</w:t>
            </w:r>
          </w:p>
          <w:p w14:paraId="6EEFE48A" w14:textId="77777777" w:rsidR="00E47657" w:rsidRDefault="00E47657" w:rsidP="00B763AB">
            <w:pPr>
              <w:rPr>
                <w:rFonts w:ascii="Arial" w:hAnsi="Arial" w:cs="Arial"/>
                <w:sz w:val="16"/>
                <w:szCs w:val="16"/>
              </w:rPr>
            </w:pPr>
          </w:p>
          <w:p w14:paraId="09199BA7" w14:textId="0FF9DFF0" w:rsidR="00E47657" w:rsidRPr="001505FA" w:rsidRDefault="00E47657" w:rsidP="00B763AB">
            <w:pPr>
              <w:rPr>
                <w:rFonts w:ascii="Arial" w:hAnsi="Arial" w:cs="Arial"/>
                <w:color w:val="009900"/>
                <w:sz w:val="16"/>
                <w:szCs w:val="16"/>
              </w:rPr>
            </w:pPr>
            <w:r w:rsidRPr="001505FA">
              <w:rPr>
                <w:rFonts w:ascii="Arial" w:hAnsi="Arial" w:cs="Arial"/>
                <w:i/>
                <w:iCs/>
                <w:color w:val="009900"/>
                <w:sz w:val="16"/>
                <w:szCs w:val="16"/>
              </w:rPr>
              <w:t>Please note:</w:t>
            </w:r>
            <w:r w:rsidRPr="001505FA">
              <w:rPr>
                <w:rFonts w:ascii="Arial" w:eastAsia="MS Mincho" w:hAnsi="Arial" w:cs="Times New Roman"/>
                <w:color w:val="009900"/>
                <w:sz w:val="20"/>
              </w:rPr>
              <w:t xml:space="preserve"> </w:t>
            </w:r>
            <w:r w:rsidRPr="001505FA">
              <w:rPr>
                <w:rFonts w:ascii="Arial" w:hAnsi="Arial" w:cs="Arial"/>
                <w:color w:val="009900"/>
                <w:sz w:val="16"/>
                <w:szCs w:val="16"/>
              </w:rPr>
              <w:t xml:space="preserve">From 25 May 2022, the scope of this update will be limited to COVID legislation and news that </w:t>
            </w:r>
            <w:r w:rsidR="002F5727" w:rsidRPr="001505FA">
              <w:rPr>
                <w:rFonts w:ascii="Arial" w:hAnsi="Arial" w:cs="Arial"/>
                <w:color w:val="009900"/>
                <w:sz w:val="16"/>
                <w:szCs w:val="16"/>
              </w:rPr>
              <w:t xml:space="preserve">directly </w:t>
            </w:r>
            <w:r w:rsidRPr="001505FA">
              <w:rPr>
                <w:rFonts w:ascii="Arial" w:hAnsi="Arial" w:cs="Arial"/>
                <w:color w:val="009900"/>
                <w:sz w:val="16"/>
                <w:szCs w:val="16"/>
              </w:rPr>
              <w:t xml:space="preserve">affects workplaces. </w:t>
            </w:r>
          </w:p>
        </w:tc>
      </w:tr>
      <w:tr w:rsidR="00CA60DC" w:rsidRPr="008D21D1" w14:paraId="6BACE20C" w14:textId="77777777" w:rsidTr="00E9541B">
        <w:tc>
          <w:tcPr>
            <w:tcW w:w="5000" w:type="pct"/>
            <w:gridSpan w:val="3"/>
            <w:shd w:val="clear" w:color="auto" w:fill="auto"/>
            <w:tcMar>
              <w:bottom w:w="0" w:type="dxa"/>
            </w:tcMar>
          </w:tcPr>
          <w:p w14:paraId="424BA95B" w14:textId="77777777" w:rsidR="00CA60DC" w:rsidRPr="008D21D1" w:rsidRDefault="00CA60DC" w:rsidP="00CA60DC">
            <w:pPr>
              <w:rPr>
                <w:sz w:val="8"/>
                <w:szCs w:val="8"/>
              </w:rPr>
            </w:pPr>
          </w:p>
        </w:tc>
      </w:tr>
      <w:tr w:rsidR="00DF4505" w:rsidRPr="00E5389F" w14:paraId="0033F581" w14:textId="77777777" w:rsidTr="00CF1329">
        <w:tc>
          <w:tcPr>
            <w:tcW w:w="134" w:type="pct"/>
            <w:tcBorders>
              <w:right w:val="single" w:sz="12" w:space="0" w:color="FFFFFF" w:themeColor="background1"/>
            </w:tcBorders>
            <w:shd w:val="clear" w:color="auto" w:fill="2E5577"/>
            <w:tcMar>
              <w:bottom w:w="0" w:type="dxa"/>
            </w:tcMar>
          </w:tcPr>
          <w:p w14:paraId="6268C5F7" w14:textId="77777777" w:rsidR="00413987" w:rsidRPr="001375D8" w:rsidRDefault="00413987" w:rsidP="001375D8">
            <w:pPr>
              <w:keepNext/>
            </w:pPr>
          </w:p>
        </w:tc>
        <w:tc>
          <w:tcPr>
            <w:tcW w:w="4866" w:type="pct"/>
            <w:gridSpan w:val="2"/>
            <w:tcBorders>
              <w:left w:val="single" w:sz="12" w:space="0" w:color="FFFFFF" w:themeColor="background1"/>
            </w:tcBorders>
            <w:shd w:val="clear" w:color="auto" w:fill="A1C4E9"/>
          </w:tcPr>
          <w:p w14:paraId="687F8C3D" w14:textId="77777777" w:rsidR="00413987" w:rsidRPr="00032220" w:rsidRDefault="00FD7DB5" w:rsidP="001375D8">
            <w:pPr>
              <w:pStyle w:val="Heading1"/>
              <w:keepNext/>
              <w:outlineLvl w:val="0"/>
            </w:pPr>
            <w:r>
              <w:t>Legislation changes</w:t>
            </w:r>
          </w:p>
        </w:tc>
      </w:tr>
      <w:tr w:rsidR="00105755" w14:paraId="4EEA5C8D" w14:textId="77777777" w:rsidTr="00E9541B">
        <w:tc>
          <w:tcPr>
            <w:tcW w:w="5000" w:type="pct"/>
            <w:gridSpan w:val="3"/>
            <w:tcMar>
              <w:bottom w:w="113" w:type="dxa"/>
            </w:tcMar>
          </w:tcPr>
          <w:p w14:paraId="4222A9CA" w14:textId="77777777" w:rsidR="00610EE2" w:rsidRDefault="00610EE2" w:rsidP="00610EE2">
            <w:pPr>
              <w:pStyle w:val="Heading2"/>
              <w:spacing w:before="0" w:after="0"/>
              <w:outlineLvl w:val="1"/>
            </w:pPr>
          </w:p>
          <w:p w14:paraId="645DF435" w14:textId="31BD318D" w:rsidR="00FD7DB5" w:rsidRDefault="00E2032A" w:rsidP="00610EE2">
            <w:pPr>
              <w:pStyle w:val="Heading2"/>
              <w:spacing w:before="0" w:after="0"/>
              <w:outlineLvl w:val="1"/>
            </w:pPr>
            <w:r>
              <w:t>Commonwealth</w:t>
            </w:r>
          </w:p>
          <w:p w14:paraId="623D3B5A" w14:textId="1A009478" w:rsidR="00610EE2" w:rsidRPr="000624B5" w:rsidRDefault="000C1245" w:rsidP="00610EE2">
            <w:pPr>
              <w:pStyle w:val="ListParagraph"/>
              <w:numPr>
                <w:ilvl w:val="0"/>
                <w:numId w:val="29"/>
              </w:numPr>
              <w:rPr>
                <w:rFonts w:ascii="Arial" w:hAnsi="Arial" w:cs="Arial"/>
                <w:sz w:val="20"/>
                <w:szCs w:val="20"/>
              </w:rPr>
            </w:pPr>
            <w:hyperlink r:id="rId10" w:history="1">
              <w:r w:rsidR="00737FCB" w:rsidRPr="000624B5">
                <w:rPr>
                  <w:rStyle w:val="Hyperlink"/>
                  <w:rFonts w:ascii="Arial" w:hAnsi="Arial"/>
                  <w:sz w:val="20"/>
                  <w:szCs w:val="20"/>
                  <w:u w:val="none"/>
                </w:rPr>
                <w:t>Commonwealth Electoral (Secure Telephone Voting Method for Coronavirus Affected Individuals) Determination 2022</w:t>
              </w:r>
            </w:hyperlink>
            <w:r w:rsidR="00737FCB" w:rsidRPr="000624B5">
              <w:rPr>
                <w:rFonts w:ascii="Arial" w:hAnsi="Arial" w:cs="Arial"/>
                <w:sz w:val="20"/>
                <w:szCs w:val="20"/>
              </w:rPr>
              <w:t xml:space="preserve"> - Provides that the secure telephone voting method prescribed by the </w:t>
            </w:r>
            <w:r w:rsidR="00737FCB" w:rsidRPr="000624B5">
              <w:rPr>
                <w:rFonts w:ascii="Arial" w:hAnsi="Arial" w:cs="Arial"/>
                <w:i/>
                <w:iCs/>
                <w:sz w:val="20"/>
                <w:szCs w:val="20"/>
              </w:rPr>
              <w:t>Commonwealth Electoral (COVID Enfranchisement) Regulations 2022</w:t>
            </w:r>
            <w:r w:rsidR="00737FCB" w:rsidRPr="000624B5">
              <w:rPr>
                <w:rFonts w:ascii="Arial" w:hAnsi="Arial" w:cs="Arial"/>
                <w:sz w:val="20"/>
                <w:szCs w:val="20"/>
              </w:rPr>
              <w:t xml:space="preserve"> may be used by individuals referred to in Section 202AFA(1) in relation to the general election and Senate election to be held in the year beginning 1 January 2022.</w:t>
            </w:r>
          </w:p>
          <w:p w14:paraId="38FEE019" w14:textId="77777777" w:rsidR="00610EE2" w:rsidRDefault="00610EE2" w:rsidP="00610EE2">
            <w:pPr>
              <w:pStyle w:val="Heading2"/>
              <w:spacing w:before="0" w:after="0"/>
              <w:outlineLvl w:val="1"/>
            </w:pPr>
          </w:p>
          <w:p w14:paraId="0DC03E6D" w14:textId="621ACB87" w:rsidR="00502500" w:rsidRPr="00F80FB6" w:rsidRDefault="00502500" w:rsidP="00610EE2">
            <w:pPr>
              <w:pStyle w:val="Heading2"/>
              <w:spacing w:before="0" w:after="0"/>
              <w:outlineLvl w:val="1"/>
            </w:pPr>
            <w:r w:rsidRPr="00F80FB6">
              <w:t>ACT</w:t>
            </w:r>
          </w:p>
          <w:p w14:paraId="5F0DD4A3" w14:textId="0B31C70A" w:rsidR="00B104FD" w:rsidRPr="000624B5" w:rsidRDefault="000C1245" w:rsidP="00A609A5">
            <w:pPr>
              <w:pStyle w:val="ListParagraph"/>
              <w:numPr>
                <w:ilvl w:val="0"/>
                <w:numId w:val="29"/>
              </w:numPr>
              <w:rPr>
                <w:rFonts w:ascii="Arial" w:hAnsi="Arial" w:cs="Arial"/>
                <w:sz w:val="20"/>
                <w:szCs w:val="20"/>
              </w:rPr>
            </w:pPr>
            <w:hyperlink r:id="rId11" w:history="1">
              <w:r w:rsidR="00B104FD" w:rsidRPr="000624B5">
                <w:rPr>
                  <w:rStyle w:val="Hyperlink"/>
                  <w:rFonts w:ascii="Arial" w:hAnsi="Arial"/>
                  <w:sz w:val="20"/>
                  <w:szCs w:val="20"/>
                  <w:u w:val="none"/>
                </w:rPr>
                <w:t>Public Health (Emergency) Declaration Further Extension 2022 (No 2)</w:t>
              </w:r>
            </w:hyperlink>
            <w:r w:rsidR="00B104FD" w:rsidRPr="000624B5">
              <w:rPr>
                <w:rFonts w:ascii="Arial" w:hAnsi="Arial" w:cs="Arial"/>
                <w:sz w:val="20"/>
                <w:szCs w:val="20"/>
              </w:rPr>
              <w:t xml:space="preserve"> - Further extends the period during which the </w:t>
            </w:r>
            <w:r w:rsidR="00B104FD" w:rsidRPr="000624B5">
              <w:rPr>
                <w:rFonts w:ascii="Arial" w:hAnsi="Arial" w:cs="Arial"/>
                <w:i/>
                <w:iCs/>
                <w:sz w:val="20"/>
                <w:szCs w:val="20"/>
              </w:rPr>
              <w:t>Public Health (Emergency) Declaration 2020 (No 1)</w:t>
            </w:r>
            <w:r w:rsidR="00B104FD" w:rsidRPr="000624B5">
              <w:rPr>
                <w:rFonts w:ascii="Arial" w:hAnsi="Arial" w:cs="Arial"/>
                <w:sz w:val="20"/>
                <w:szCs w:val="20"/>
              </w:rPr>
              <w:t xml:space="preserve"> is in force for a period of 90 days.</w:t>
            </w:r>
          </w:p>
          <w:p w14:paraId="1DF52B3B" w14:textId="5D068AF6" w:rsidR="00502500" w:rsidRPr="000624B5" w:rsidRDefault="000C1245" w:rsidP="006C112C">
            <w:pPr>
              <w:pStyle w:val="ListParagraph"/>
              <w:numPr>
                <w:ilvl w:val="0"/>
                <w:numId w:val="29"/>
              </w:numPr>
              <w:rPr>
                <w:rFonts w:ascii="Arial" w:hAnsi="Arial" w:cs="Arial"/>
                <w:sz w:val="20"/>
                <w:szCs w:val="20"/>
              </w:rPr>
            </w:pPr>
            <w:hyperlink r:id="rId12" w:history="1">
              <w:r w:rsidR="00B104FD" w:rsidRPr="000624B5">
                <w:rPr>
                  <w:rStyle w:val="Hyperlink"/>
                  <w:rFonts w:ascii="Arial" w:hAnsi="Arial"/>
                  <w:sz w:val="20"/>
                  <w:szCs w:val="20"/>
                  <w:u w:val="none"/>
                </w:rPr>
                <w:t>Public Health (Restricted Activities) Emergency Direction 2022 (No 7)</w:t>
              </w:r>
            </w:hyperlink>
            <w:r w:rsidR="00B104FD" w:rsidRPr="000624B5">
              <w:rPr>
                <w:rFonts w:ascii="Arial" w:hAnsi="Arial" w:cs="Arial"/>
                <w:sz w:val="20"/>
                <w:szCs w:val="20"/>
              </w:rPr>
              <w:t xml:space="preserve"> - Requires restricted businesses, activities and undertakings and certain public events to operate in accordance with COVID-19 safety plans to limit the public health risk posed by COVID-19.</w:t>
            </w:r>
          </w:p>
          <w:p w14:paraId="3CD639E6" w14:textId="77777777" w:rsidR="00B52A86" w:rsidRDefault="00B52A86" w:rsidP="00610EE2">
            <w:pPr>
              <w:pStyle w:val="Heading2"/>
              <w:spacing w:before="0" w:after="0"/>
              <w:outlineLvl w:val="1"/>
            </w:pPr>
          </w:p>
          <w:p w14:paraId="37E3A59E" w14:textId="7F1102BF" w:rsidR="00292459" w:rsidRPr="00F80FB6" w:rsidRDefault="00292459" w:rsidP="00610EE2">
            <w:pPr>
              <w:pStyle w:val="Heading2"/>
              <w:spacing w:before="0" w:after="0"/>
              <w:outlineLvl w:val="1"/>
            </w:pPr>
            <w:r w:rsidRPr="00F80FB6">
              <w:t>QLD</w:t>
            </w:r>
          </w:p>
          <w:p w14:paraId="5F2FAE7A" w14:textId="08D0E8F2" w:rsidR="00292459" w:rsidRPr="000624B5" w:rsidRDefault="000C1245" w:rsidP="004A5058">
            <w:pPr>
              <w:pStyle w:val="ListParagraph"/>
              <w:numPr>
                <w:ilvl w:val="0"/>
                <w:numId w:val="24"/>
              </w:numPr>
              <w:rPr>
                <w:rFonts w:ascii="Arial" w:hAnsi="Arial" w:cs="Arial"/>
                <w:sz w:val="20"/>
                <w:szCs w:val="20"/>
              </w:rPr>
            </w:pPr>
            <w:hyperlink r:id="rId13" w:history="1">
              <w:r w:rsidR="005F1ED3" w:rsidRPr="000624B5">
                <w:rPr>
                  <w:rStyle w:val="Hyperlink"/>
                  <w:rFonts w:ascii="Arial" w:hAnsi="Arial"/>
                  <w:sz w:val="20"/>
                  <w:szCs w:val="20"/>
                  <w:u w:val="none"/>
                </w:rPr>
                <w:t>Disability Accommodation Services Visitor Direction (No. 2)</w:t>
              </w:r>
            </w:hyperlink>
            <w:r w:rsidR="005F1ED3" w:rsidRPr="000624B5">
              <w:rPr>
                <w:rFonts w:ascii="Arial" w:hAnsi="Arial" w:cs="Arial"/>
                <w:sz w:val="20"/>
                <w:szCs w:val="20"/>
              </w:rPr>
              <w:t xml:space="preserve"> - Imposes requirements in relation to visiting disability accommodation services. </w:t>
            </w:r>
          </w:p>
          <w:p w14:paraId="5185307A" w14:textId="566BC66F" w:rsidR="005F1ED3" w:rsidRPr="000624B5" w:rsidRDefault="000C1245" w:rsidP="004A5058">
            <w:pPr>
              <w:pStyle w:val="ListParagraph"/>
              <w:numPr>
                <w:ilvl w:val="0"/>
                <w:numId w:val="24"/>
              </w:numPr>
              <w:rPr>
                <w:rFonts w:ascii="Arial" w:hAnsi="Arial" w:cs="Arial"/>
                <w:sz w:val="20"/>
                <w:szCs w:val="20"/>
              </w:rPr>
            </w:pPr>
            <w:hyperlink r:id="rId14" w:history="1">
              <w:r w:rsidR="005F1ED3" w:rsidRPr="000624B5">
                <w:rPr>
                  <w:rStyle w:val="Hyperlink"/>
                  <w:rFonts w:ascii="Arial" w:hAnsi="Arial"/>
                  <w:sz w:val="20"/>
                  <w:szCs w:val="20"/>
                  <w:u w:val="none"/>
                </w:rPr>
                <w:t>Hospital Visitor Entry Direction (No. 2)</w:t>
              </w:r>
            </w:hyperlink>
            <w:r w:rsidR="005F1ED3" w:rsidRPr="000624B5">
              <w:rPr>
                <w:rFonts w:ascii="Arial" w:hAnsi="Arial" w:cs="Arial"/>
                <w:sz w:val="20"/>
                <w:szCs w:val="20"/>
              </w:rPr>
              <w:t xml:space="preserve"> - Imposes requirements in relation to visiting hospitals.</w:t>
            </w:r>
          </w:p>
          <w:p w14:paraId="7FA8716D" w14:textId="71927E6C" w:rsidR="005F1ED3" w:rsidRPr="000624B5" w:rsidRDefault="000C1245" w:rsidP="004A5058">
            <w:pPr>
              <w:pStyle w:val="ListParagraph"/>
              <w:numPr>
                <w:ilvl w:val="0"/>
                <w:numId w:val="24"/>
              </w:numPr>
              <w:rPr>
                <w:rFonts w:ascii="Arial" w:hAnsi="Arial" w:cs="Arial"/>
                <w:sz w:val="20"/>
                <w:szCs w:val="20"/>
              </w:rPr>
            </w:pPr>
            <w:hyperlink r:id="rId15" w:history="1">
              <w:r w:rsidR="005F1ED3" w:rsidRPr="000624B5">
                <w:rPr>
                  <w:rStyle w:val="Hyperlink"/>
                  <w:rFonts w:ascii="Arial" w:hAnsi="Arial"/>
                  <w:sz w:val="20"/>
                  <w:szCs w:val="20"/>
                  <w:u w:val="none"/>
                </w:rPr>
                <w:t>Requirements for Workers at Government Nominated Accommodation Direction (No. 2)</w:t>
              </w:r>
            </w:hyperlink>
            <w:r w:rsidR="005F1ED3" w:rsidRPr="000624B5">
              <w:rPr>
                <w:rFonts w:ascii="Arial" w:hAnsi="Arial" w:cs="Arial"/>
                <w:sz w:val="20"/>
                <w:szCs w:val="20"/>
              </w:rPr>
              <w:t xml:space="preserve"> - Protects the health of the community and individuals working and staying in government accommodation for isolation by mitigating the risk of the spread of COVID-19, including through vaccination, personal protective equipment and COVID-19 testing requirements for workers.</w:t>
            </w:r>
          </w:p>
          <w:p w14:paraId="1C08EDB9" w14:textId="1ABA2B13" w:rsidR="005F1ED3" w:rsidRPr="000624B5" w:rsidRDefault="000C1245" w:rsidP="004A5058">
            <w:pPr>
              <w:pStyle w:val="ListParagraph"/>
              <w:numPr>
                <w:ilvl w:val="0"/>
                <w:numId w:val="24"/>
              </w:numPr>
              <w:rPr>
                <w:rFonts w:ascii="Arial" w:hAnsi="Arial" w:cs="Arial"/>
                <w:sz w:val="20"/>
                <w:szCs w:val="20"/>
              </w:rPr>
            </w:pPr>
            <w:hyperlink r:id="rId16" w:history="1">
              <w:r w:rsidR="005F1ED3" w:rsidRPr="000624B5">
                <w:rPr>
                  <w:rStyle w:val="Hyperlink"/>
                  <w:rFonts w:ascii="Arial" w:hAnsi="Arial"/>
                  <w:sz w:val="20"/>
                  <w:szCs w:val="20"/>
                  <w:u w:val="none"/>
                </w:rPr>
                <w:t>Residential Aged Care Visitor Direction (No. 2)</w:t>
              </w:r>
            </w:hyperlink>
            <w:r w:rsidR="005F1ED3" w:rsidRPr="000624B5">
              <w:rPr>
                <w:rFonts w:ascii="Arial" w:hAnsi="Arial" w:cs="Arial"/>
                <w:sz w:val="20"/>
                <w:szCs w:val="20"/>
              </w:rPr>
              <w:t xml:space="preserve"> - Imposes requirements in relation to visiting residential aged care facilities.</w:t>
            </w:r>
          </w:p>
          <w:p w14:paraId="400A6AC9" w14:textId="77777777" w:rsidR="004A5058" w:rsidRDefault="004A5058" w:rsidP="00610EE2">
            <w:pPr>
              <w:pStyle w:val="Heading2"/>
              <w:spacing w:before="0" w:after="0"/>
              <w:outlineLvl w:val="1"/>
            </w:pPr>
          </w:p>
          <w:p w14:paraId="6090B86C" w14:textId="6AAF8ABE" w:rsidR="00A32C07" w:rsidRPr="00F80FB6" w:rsidRDefault="00A32C07" w:rsidP="00610EE2">
            <w:pPr>
              <w:pStyle w:val="Heading2"/>
              <w:spacing w:before="0" w:after="0"/>
              <w:outlineLvl w:val="1"/>
            </w:pPr>
            <w:r w:rsidRPr="00F80FB6">
              <w:t>TAS</w:t>
            </w:r>
          </w:p>
          <w:p w14:paraId="521CECF5" w14:textId="2F248A6F" w:rsidR="004A5058" w:rsidRPr="000624B5" w:rsidRDefault="000C1245" w:rsidP="000624B5">
            <w:pPr>
              <w:pStyle w:val="ListParagraph"/>
              <w:numPr>
                <w:ilvl w:val="0"/>
                <w:numId w:val="24"/>
              </w:numPr>
              <w:rPr>
                <w:rFonts w:ascii="Arial" w:hAnsi="Arial" w:cs="Arial"/>
                <w:sz w:val="20"/>
                <w:szCs w:val="20"/>
              </w:rPr>
            </w:pPr>
            <w:hyperlink r:id="rId17" w:history="1">
              <w:r w:rsidR="00E668E5" w:rsidRPr="000624B5">
                <w:rPr>
                  <w:rStyle w:val="Hyperlink"/>
                  <w:rFonts w:ascii="Arial" w:hAnsi="Arial"/>
                  <w:sz w:val="20"/>
                  <w:szCs w:val="20"/>
                  <w:u w:val="none"/>
                </w:rPr>
                <w:t>Notice Under Section 20 of the COVID-19 Disease Emergency (Miscellaneous Provisions) Act 2020</w:t>
              </w:r>
            </w:hyperlink>
            <w:r w:rsidR="00E668E5" w:rsidRPr="000624B5">
              <w:rPr>
                <w:rFonts w:ascii="Arial" w:hAnsi="Arial" w:cs="Arial"/>
                <w:sz w:val="20"/>
                <w:szCs w:val="20"/>
              </w:rPr>
              <w:t xml:space="preserve"> - Declares certain exceptions to the </w:t>
            </w:r>
            <w:r w:rsidR="00E668E5" w:rsidRPr="000624B5">
              <w:rPr>
                <w:rFonts w:ascii="Arial" w:hAnsi="Arial" w:cs="Arial"/>
                <w:i/>
                <w:iCs/>
                <w:sz w:val="20"/>
                <w:szCs w:val="20"/>
              </w:rPr>
              <w:t>Criminal Code</w:t>
            </w:r>
            <w:r w:rsidR="00E668E5" w:rsidRPr="000624B5">
              <w:rPr>
                <w:rFonts w:ascii="Arial" w:hAnsi="Arial" w:cs="Arial"/>
                <w:sz w:val="20"/>
                <w:szCs w:val="20"/>
              </w:rPr>
              <w:t xml:space="preserve">, </w:t>
            </w:r>
            <w:r w:rsidR="00E668E5" w:rsidRPr="000624B5">
              <w:rPr>
                <w:rFonts w:ascii="Arial" w:hAnsi="Arial" w:cs="Arial"/>
                <w:i/>
                <w:iCs/>
                <w:sz w:val="20"/>
                <w:szCs w:val="20"/>
              </w:rPr>
              <w:t>Criminal Code Act 1942</w:t>
            </w:r>
            <w:r w:rsidR="00E668E5" w:rsidRPr="000624B5">
              <w:rPr>
                <w:rFonts w:ascii="Arial" w:hAnsi="Arial" w:cs="Arial"/>
                <w:sz w:val="20"/>
                <w:szCs w:val="20"/>
              </w:rPr>
              <w:t xml:space="preserve">, </w:t>
            </w:r>
            <w:r w:rsidR="00E668E5" w:rsidRPr="000624B5">
              <w:rPr>
                <w:rFonts w:ascii="Arial" w:hAnsi="Arial" w:cs="Arial"/>
                <w:i/>
                <w:iCs/>
                <w:sz w:val="20"/>
                <w:szCs w:val="20"/>
              </w:rPr>
              <w:t>Sentencing Act 1997</w:t>
            </w:r>
            <w:r w:rsidR="00E668E5" w:rsidRPr="000624B5">
              <w:rPr>
                <w:rFonts w:ascii="Arial" w:hAnsi="Arial" w:cs="Arial"/>
                <w:sz w:val="20"/>
                <w:szCs w:val="20"/>
              </w:rPr>
              <w:t xml:space="preserve"> and </w:t>
            </w:r>
            <w:r w:rsidR="00E668E5" w:rsidRPr="000624B5">
              <w:rPr>
                <w:rFonts w:ascii="Arial" w:hAnsi="Arial" w:cs="Arial"/>
                <w:i/>
                <w:iCs/>
                <w:sz w:val="20"/>
                <w:szCs w:val="20"/>
              </w:rPr>
              <w:t>Supreme Court Civil Procedure Act 1932</w:t>
            </w:r>
            <w:r w:rsidR="00E668E5" w:rsidRPr="000624B5">
              <w:rPr>
                <w:rFonts w:ascii="Arial" w:hAnsi="Arial" w:cs="Arial"/>
                <w:sz w:val="20"/>
                <w:szCs w:val="20"/>
              </w:rPr>
              <w:t xml:space="preserve">. </w:t>
            </w:r>
          </w:p>
          <w:p w14:paraId="7F0AD5AD" w14:textId="77777777" w:rsidR="00B52A86" w:rsidRDefault="00B52A86" w:rsidP="00610EE2">
            <w:pPr>
              <w:pStyle w:val="Heading2"/>
              <w:spacing w:before="0" w:after="0"/>
              <w:outlineLvl w:val="1"/>
            </w:pPr>
          </w:p>
          <w:p w14:paraId="42A8ABF1" w14:textId="59141B66" w:rsidR="00D73EF3" w:rsidRPr="00F80FB6" w:rsidRDefault="00D73EF3" w:rsidP="00610EE2">
            <w:pPr>
              <w:pStyle w:val="Heading2"/>
              <w:spacing w:before="0" w:after="0"/>
              <w:outlineLvl w:val="1"/>
            </w:pPr>
            <w:r w:rsidRPr="00F80FB6">
              <w:t>WA</w:t>
            </w:r>
          </w:p>
          <w:p w14:paraId="376C0214" w14:textId="12759028" w:rsidR="00637A59" w:rsidRPr="000624B5" w:rsidRDefault="000C1245" w:rsidP="00CD46D1">
            <w:pPr>
              <w:pStyle w:val="Heading2"/>
              <w:numPr>
                <w:ilvl w:val="0"/>
                <w:numId w:val="24"/>
              </w:numPr>
              <w:spacing w:before="0" w:after="0" w:line="240" w:lineRule="auto"/>
              <w:outlineLvl w:val="1"/>
              <w:rPr>
                <w:b w:val="0"/>
                <w:bCs/>
                <w:color w:val="auto"/>
                <w:sz w:val="20"/>
                <w:szCs w:val="20"/>
              </w:rPr>
            </w:pPr>
            <w:hyperlink r:id="rId18" w:anchor="page=3" w:history="1">
              <w:r w:rsidR="00E9715C" w:rsidRPr="000624B5">
                <w:rPr>
                  <w:rStyle w:val="Hyperlink"/>
                  <w:b w:val="0"/>
                  <w:bCs/>
                  <w:sz w:val="20"/>
                  <w:szCs w:val="20"/>
                  <w:u w:val="none"/>
                </w:rPr>
                <w:t>Extension of State of Emergency Declaration</w:t>
              </w:r>
            </w:hyperlink>
            <w:r w:rsidR="00E9715C" w:rsidRPr="000624B5">
              <w:rPr>
                <w:b w:val="0"/>
                <w:bCs/>
                <w:color w:val="auto"/>
                <w:sz w:val="20"/>
                <w:szCs w:val="20"/>
              </w:rPr>
              <w:t xml:space="preserve"> - Extends the state of emergency declaration for a period of 14 days.</w:t>
            </w:r>
          </w:p>
          <w:p w14:paraId="43280887" w14:textId="616F7856" w:rsidR="00714505" w:rsidRPr="000624B5" w:rsidRDefault="000C1245" w:rsidP="000624B5">
            <w:pPr>
              <w:pStyle w:val="ListParagraph"/>
              <w:numPr>
                <w:ilvl w:val="0"/>
                <w:numId w:val="24"/>
              </w:numPr>
              <w:rPr>
                <w:rFonts w:ascii="Arial" w:hAnsi="Arial" w:cs="Arial"/>
                <w:sz w:val="20"/>
                <w:szCs w:val="20"/>
              </w:rPr>
            </w:pPr>
            <w:hyperlink r:id="rId19" w:history="1">
              <w:r w:rsidR="00714505" w:rsidRPr="000624B5">
                <w:rPr>
                  <w:rStyle w:val="Hyperlink"/>
                  <w:rFonts w:ascii="Arial" w:hAnsi="Arial"/>
                  <w:sz w:val="20"/>
                  <w:szCs w:val="20"/>
                  <w:u w:val="none"/>
                </w:rPr>
                <w:t>Maritime Crew Member Directions (No 10)</w:t>
              </w:r>
            </w:hyperlink>
            <w:r w:rsidR="00714505" w:rsidRPr="000624B5">
              <w:rPr>
                <w:rFonts w:ascii="Arial" w:hAnsi="Arial" w:cs="Arial"/>
                <w:sz w:val="20"/>
                <w:szCs w:val="20"/>
              </w:rPr>
              <w:t xml:space="preserve"> - </w:t>
            </w:r>
            <w:r w:rsidR="000624B5" w:rsidRPr="000624B5">
              <w:rPr>
                <w:rFonts w:ascii="Arial" w:hAnsi="Arial" w:cs="Arial"/>
                <w:sz w:val="20"/>
                <w:szCs w:val="20"/>
              </w:rPr>
              <w:t>Sets out the requirements that apply to unvaccinated international maritime crew members entering Western Australia by disembarking a vessel.</w:t>
            </w:r>
          </w:p>
          <w:p w14:paraId="614CC2A7" w14:textId="77777777" w:rsidR="004A5058" w:rsidRDefault="004A5058" w:rsidP="00610EE2">
            <w:pPr>
              <w:pStyle w:val="Heading2"/>
              <w:spacing w:before="0" w:after="0"/>
              <w:outlineLvl w:val="1"/>
            </w:pPr>
          </w:p>
          <w:p w14:paraId="4532B1DA" w14:textId="3228C650" w:rsidR="00637A59" w:rsidRPr="00F80FB6" w:rsidRDefault="00637A59" w:rsidP="00610EE2">
            <w:pPr>
              <w:pStyle w:val="Heading2"/>
              <w:spacing w:before="0" w:after="0"/>
              <w:outlineLvl w:val="1"/>
              <w:rPr>
                <w:sz w:val="20"/>
                <w:szCs w:val="20"/>
              </w:rPr>
            </w:pPr>
            <w:r w:rsidRPr="00F80FB6">
              <w:t>NZ</w:t>
            </w:r>
          </w:p>
          <w:p w14:paraId="3183F095" w14:textId="6C625F6F" w:rsidR="00B9148C" w:rsidRPr="000624B5" w:rsidRDefault="000C1245" w:rsidP="000624B5">
            <w:pPr>
              <w:pStyle w:val="ListParagraph"/>
              <w:numPr>
                <w:ilvl w:val="0"/>
                <w:numId w:val="24"/>
              </w:numPr>
              <w:rPr>
                <w:rFonts w:ascii="Arial" w:eastAsia="Times New Roman" w:hAnsi="Arial" w:cs="Arial"/>
                <w:bCs/>
                <w:sz w:val="20"/>
                <w:szCs w:val="20"/>
              </w:rPr>
            </w:pPr>
            <w:hyperlink r:id="rId20" w:history="1">
              <w:r w:rsidR="00B104FD" w:rsidRPr="000624B5">
                <w:rPr>
                  <w:rStyle w:val="Hyperlink"/>
                  <w:rFonts w:ascii="Arial" w:eastAsia="Times New Roman" w:hAnsi="Arial"/>
                  <w:bCs/>
                  <w:sz w:val="20"/>
                  <w:szCs w:val="20"/>
                  <w:u w:val="none"/>
                </w:rPr>
                <w:t>COVID-19 Public Health Response (Air Border) Order 2021 - Specified Information and Form of Traveller Pass for New Zealand Traveller Declaration System (No 2)</w:t>
              </w:r>
            </w:hyperlink>
            <w:r w:rsidR="00B104FD" w:rsidRPr="000624B5">
              <w:rPr>
                <w:rFonts w:ascii="Arial" w:eastAsia="Times New Roman" w:hAnsi="Arial" w:cs="Arial"/>
                <w:bCs/>
                <w:sz w:val="20"/>
                <w:szCs w:val="20"/>
              </w:rPr>
              <w:t xml:space="preserve"> - Specifies information for certain travellers required to make a declaration through the New Zealand Traveller Declaration System.</w:t>
            </w:r>
          </w:p>
          <w:p w14:paraId="0059F576" w14:textId="1F8B9950" w:rsidR="00B104FD" w:rsidRPr="000624B5" w:rsidRDefault="000C1245" w:rsidP="000624B5">
            <w:pPr>
              <w:pStyle w:val="ListParagraph"/>
              <w:numPr>
                <w:ilvl w:val="0"/>
                <w:numId w:val="24"/>
              </w:numPr>
              <w:rPr>
                <w:rFonts w:ascii="Arial" w:eastAsia="Times New Roman" w:hAnsi="Arial" w:cs="Arial"/>
                <w:bCs/>
                <w:sz w:val="20"/>
                <w:szCs w:val="20"/>
              </w:rPr>
            </w:pPr>
            <w:hyperlink r:id="rId21" w:history="1">
              <w:r w:rsidR="00B104FD" w:rsidRPr="000624B5">
                <w:rPr>
                  <w:rStyle w:val="Hyperlink"/>
                  <w:rFonts w:ascii="Arial" w:eastAsia="Times New Roman" w:hAnsi="Arial"/>
                  <w:bCs/>
                  <w:sz w:val="20"/>
                  <w:szCs w:val="20"/>
                  <w:u w:val="none"/>
                </w:rPr>
                <w:t>Special Direction - Extension of Visas Held by a Class of Work to Residence Visa Holders, and Their Partners and Dependent Children, to Manage the Effects and Deal with the Consequences of Measures Taken to Contain or Mitigate the Outbreak of COVID-19 or its Effects</w:t>
              </w:r>
            </w:hyperlink>
            <w:r w:rsidR="00B104FD" w:rsidRPr="000624B5">
              <w:rPr>
                <w:rFonts w:ascii="Arial" w:eastAsia="Times New Roman" w:hAnsi="Arial" w:cs="Arial"/>
                <w:bCs/>
                <w:sz w:val="20"/>
                <w:szCs w:val="20"/>
              </w:rPr>
              <w:t xml:space="preserve"> - Extends the visas held by certain classes of people.</w:t>
            </w:r>
          </w:p>
          <w:p w14:paraId="49854F5B" w14:textId="50F164B4" w:rsidR="00B104FD" w:rsidRPr="000624B5" w:rsidRDefault="000C1245" w:rsidP="000624B5">
            <w:pPr>
              <w:pStyle w:val="ListParagraph"/>
              <w:numPr>
                <w:ilvl w:val="0"/>
                <w:numId w:val="24"/>
              </w:numPr>
              <w:rPr>
                <w:rFonts w:ascii="Arial" w:eastAsia="Times New Roman" w:hAnsi="Arial" w:cs="Arial"/>
                <w:bCs/>
                <w:sz w:val="20"/>
                <w:szCs w:val="20"/>
              </w:rPr>
            </w:pPr>
            <w:hyperlink r:id="rId22" w:history="1">
              <w:r w:rsidR="00B104FD" w:rsidRPr="000624B5">
                <w:rPr>
                  <w:rStyle w:val="Hyperlink"/>
                  <w:rFonts w:ascii="Arial" w:eastAsia="Times New Roman" w:hAnsi="Arial"/>
                  <w:bCs/>
                  <w:sz w:val="20"/>
                  <w:szCs w:val="20"/>
                  <w:u w:val="none"/>
                </w:rPr>
                <w:t>Special Direction - Grant of Temporary Visas to Classes of People to Manage Effects and Deal with Consequences of Measures Taken to Contain or Mitigate the Outbreak of COVID-19 or its Effects</w:t>
              </w:r>
            </w:hyperlink>
            <w:r w:rsidR="00B104FD" w:rsidRPr="000624B5">
              <w:rPr>
                <w:rFonts w:ascii="Arial" w:eastAsia="Times New Roman" w:hAnsi="Arial" w:cs="Arial"/>
                <w:bCs/>
                <w:sz w:val="20"/>
                <w:szCs w:val="20"/>
              </w:rPr>
              <w:t xml:space="preserve"> - Grants a temporary visa to certain classes of people.</w:t>
            </w:r>
          </w:p>
          <w:p w14:paraId="4ECDF986" w14:textId="294E078A" w:rsidR="00B9148C" w:rsidRPr="00292459" w:rsidRDefault="00B9148C" w:rsidP="00610EE2">
            <w:pPr>
              <w:pStyle w:val="Heading2"/>
              <w:spacing w:before="0" w:after="0"/>
              <w:outlineLvl w:val="1"/>
              <w:rPr>
                <w:rFonts w:eastAsia="Times New Roman"/>
                <w:b w:val="0"/>
                <w:bCs/>
                <w:sz w:val="20"/>
                <w:szCs w:val="20"/>
              </w:rPr>
            </w:pPr>
          </w:p>
        </w:tc>
      </w:tr>
      <w:tr w:rsidR="00765903" w:rsidRPr="008D21D1" w14:paraId="20FC6978" w14:textId="77777777" w:rsidTr="00E9541B">
        <w:tc>
          <w:tcPr>
            <w:tcW w:w="5000" w:type="pct"/>
            <w:gridSpan w:val="3"/>
            <w:shd w:val="clear" w:color="auto" w:fill="auto"/>
            <w:tcMar>
              <w:bottom w:w="0" w:type="dxa"/>
            </w:tcMar>
          </w:tcPr>
          <w:p w14:paraId="0FED6305" w14:textId="4032F186" w:rsidR="00765903" w:rsidRPr="008D21D1" w:rsidRDefault="00765903" w:rsidP="00D0437B">
            <w:pPr>
              <w:rPr>
                <w:sz w:val="8"/>
                <w:szCs w:val="8"/>
              </w:rPr>
            </w:pPr>
          </w:p>
        </w:tc>
      </w:tr>
      <w:tr w:rsidR="00DF4505" w:rsidRPr="00E5389F" w14:paraId="29AF74D6" w14:textId="77777777" w:rsidTr="00CF1329">
        <w:tc>
          <w:tcPr>
            <w:tcW w:w="134" w:type="pct"/>
            <w:tcBorders>
              <w:right w:val="single" w:sz="12" w:space="0" w:color="FFFFFF" w:themeColor="background1"/>
            </w:tcBorders>
            <w:shd w:val="clear" w:color="auto" w:fill="2E5577"/>
            <w:tcMar>
              <w:bottom w:w="0" w:type="dxa"/>
            </w:tcMar>
          </w:tcPr>
          <w:p w14:paraId="0E66F258" w14:textId="77777777" w:rsidR="00111811" w:rsidRPr="001375D8" w:rsidRDefault="00111811" w:rsidP="001375D8">
            <w:pPr>
              <w:keepNext/>
            </w:pPr>
          </w:p>
        </w:tc>
        <w:tc>
          <w:tcPr>
            <w:tcW w:w="4866" w:type="pct"/>
            <w:gridSpan w:val="2"/>
            <w:tcBorders>
              <w:left w:val="single" w:sz="12" w:space="0" w:color="FFFFFF" w:themeColor="background1"/>
            </w:tcBorders>
            <w:shd w:val="clear" w:color="auto" w:fill="A1C4E9"/>
          </w:tcPr>
          <w:p w14:paraId="1E6BD3F7" w14:textId="77777777" w:rsidR="00111811" w:rsidRPr="00032220" w:rsidRDefault="00711E21" w:rsidP="001375D8">
            <w:pPr>
              <w:pStyle w:val="Heading1"/>
              <w:keepNext/>
              <w:outlineLvl w:val="0"/>
            </w:pPr>
            <w:r>
              <w:t>From the regulators</w:t>
            </w:r>
          </w:p>
        </w:tc>
      </w:tr>
      <w:tr w:rsidR="002B2F19" w14:paraId="175CB742" w14:textId="77777777" w:rsidTr="00E9541B">
        <w:tc>
          <w:tcPr>
            <w:tcW w:w="5000" w:type="pct"/>
            <w:gridSpan w:val="3"/>
            <w:tcMar>
              <w:bottom w:w="113" w:type="dxa"/>
            </w:tcMar>
          </w:tcPr>
          <w:p w14:paraId="463CDD8C" w14:textId="77777777" w:rsidR="00610EE2" w:rsidRDefault="00610EE2" w:rsidP="00610EE2">
            <w:pPr>
              <w:pStyle w:val="Heading2"/>
              <w:spacing w:before="0" w:after="0"/>
              <w:outlineLvl w:val="1"/>
            </w:pPr>
          </w:p>
          <w:p w14:paraId="4B2201DE" w14:textId="401A2652" w:rsidR="002B2F19" w:rsidRPr="004E44AB" w:rsidRDefault="00FD7DB5" w:rsidP="00610EE2">
            <w:pPr>
              <w:pStyle w:val="Heading2"/>
              <w:spacing w:before="0" w:after="0"/>
              <w:outlineLvl w:val="1"/>
            </w:pPr>
            <w:r>
              <w:t>Australia</w:t>
            </w:r>
          </w:p>
          <w:p w14:paraId="72B5F499" w14:textId="11776D1F" w:rsidR="00CB6D56" w:rsidRPr="00AD7DD3" w:rsidRDefault="00CB6D56" w:rsidP="00AD7DD3">
            <w:pPr>
              <w:pStyle w:val="Heading2"/>
              <w:numPr>
                <w:ilvl w:val="0"/>
                <w:numId w:val="29"/>
              </w:numPr>
              <w:spacing w:before="0" w:after="0" w:line="240" w:lineRule="auto"/>
              <w:outlineLvl w:val="1"/>
              <w:rPr>
                <w:rStyle w:val="Hyperlink"/>
                <w:b w:val="0"/>
                <w:bCs/>
                <w:color w:val="auto"/>
                <w:sz w:val="20"/>
                <w:szCs w:val="20"/>
                <w:u w:val="none"/>
              </w:rPr>
            </w:pPr>
            <w:r w:rsidRPr="00AD7DD3">
              <w:rPr>
                <w:rStyle w:val="Hyperlink"/>
                <w:b w:val="0"/>
                <w:bCs/>
                <w:color w:val="auto"/>
                <w:sz w:val="20"/>
                <w:szCs w:val="20"/>
                <w:u w:val="none"/>
              </w:rPr>
              <w:t>Therapeutic Goods Administration:</w:t>
            </w:r>
          </w:p>
          <w:p w14:paraId="2DA20B70" w14:textId="75BEB722" w:rsidR="00CB6D56" w:rsidRPr="00AD7DD3" w:rsidRDefault="000C1245" w:rsidP="00AD7DD3">
            <w:pPr>
              <w:pStyle w:val="ListParagraph"/>
              <w:numPr>
                <w:ilvl w:val="1"/>
                <w:numId w:val="29"/>
              </w:numPr>
              <w:rPr>
                <w:rFonts w:ascii="Arial" w:hAnsi="Arial" w:cs="Arial"/>
                <w:sz w:val="20"/>
                <w:szCs w:val="20"/>
              </w:rPr>
            </w:pPr>
            <w:hyperlink r:id="rId23" w:history="1">
              <w:r w:rsidR="00CB6D56" w:rsidRPr="00AD7DD3">
                <w:rPr>
                  <w:rStyle w:val="Hyperlink"/>
                  <w:rFonts w:ascii="Arial" w:hAnsi="Arial"/>
                  <w:sz w:val="20"/>
                  <w:szCs w:val="20"/>
                  <w:u w:val="none"/>
                </w:rPr>
                <w:t>Batch Release Assessment of COVID-19 Vaccines</w:t>
              </w:r>
            </w:hyperlink>
          </w:p>
          <w:p w14:paraId="35D754BA" w14:textId="77777777" w:rsidR="00AD7DD3" w:rsidRPr="00AD7DD3" w:rsidRDefault="000C1245" w:rsidP="00AD7DD3">
            <w:pPr>
              <w:pStyle w:val="ListParagraph"/>
              <w:numPr>
                <w:ilvl w:val="1"/>
                <w:numId w:val="29"/>
              </w:numPr>
              <w:rPr>
                <w:rFonts w:ascii="Arial" w:hAnsi="Arial" w:cs="Arial"/>
                <w:sz w:val="20"/>
                <w:szCs w:val="20"/>
              </w:rPr>
            </w:pPr>
            <w:hyperlink r:id="rId24" w:history="1">
              <w:r w:rsidR="00AD7DD3" w:rsidRPr="00AD7DD3">
                <w:rPr>
                  <w:rStyle w:val="Hyperlink"/>
                  <w:rFonts w:ascii="Arial" w:hAnsi="Arial"/>
                  <w:sz w:val="20"/>
                  <w:szCs w:val="20"/>
                  <w:u w:val="none"/>
                </w:rPr>
                <w:t>TGA Commences Evaluation of Moderna COVID 19 Vaccine (SPIKEVAX) for Children Aged 6 Months to 5 Years Old</w:t>
              </w:r>
            </w:hyperlink>
          </w:p>
          <w:p w14:paraId="308478F5" w14:textId="599AE7EA" w:rsidR="00CB6D56" w:rsidRPr="00AD7DD3" w:rsidRDefault="000C1245" w:rsidP="00AD7DD3">
            <w:pPr>
              <w:pStyle w:val="ListParagraph"/>
              <w:numPr>
                <w:ilvl w:val="1"/>
                <w:numId w:val="29"/>
              </w:numPr>
              <w:rPr>
                <w:rFonts w:ascii="Arial" w:hAnsi="Arial" w:cs="Arial"/>
                <w:sz w:val="20"/>
                <w:szCs w:val="20"/>
              </w:rPr>
            </w:pPr>
            <w:hyperlink r:id="rId25" w:history="1">
              <w:r w:rsidR="00CB6D56" w:rsidRPr="00AD7DD3">
                <w:rPr>
                  <w:rStyle w:val="Hyperlink"/>
                  <w:rFonts w:ascii="Arial" w:hAnsi="Arial"/>
                  <w:sz w:val="20"/>
                  <w:szCs w:val="20"/>
                  <w:u w:val="none"/>
                </w:rPr>
                <w:t>TGA Removes Age Limit for BBIBP-CorV (Sinopharm) COVID-19 Vaccine Recognition for International Travel to Australia</w:t>
              </w:r>
            </w:hyperlink>
          </w:p>
          <w:p w14:paraId="5E612B2B" w14:textId="77777777" w:rsidR="00B52A86" w:rsidRDefault="00B52A86" w:rsidP="00610EE2">
            <w:pPr>
              <w:pStyle w:val="Heading2"/>
              <w:spacing w:before="0" w:after="0"/>
              <w:outlineLvl w:val="1"/>
            </w:pPr>
          </w:p>
          <w:p w14:paraId="7DDEB402" w14:textId="1387DE20" w:rsidR="007B6A79" w:rsidRDefault="007B6A79" w:rsidP="00610EE2">
            <w:pPr>
              <w:pStyle w:val="Heading2"/>
              <w:spacing w:before="0" w:after="0"/>
              <w:outlineLvl w:val="1"/>
            </w:pPr>
            <w:r>
              <w:t>ACT</w:t>
            </w:r>
          </w:p>
          <w:p w14:paraId="74489DFB" w14:textId="35A30298" w:rsidR="007B6A79" w:rsidRPr="00AD7DD3" w:rsidRDefault="0003667A" w:rsidP="00AD7DD3">
            <w:pPr>
              <w:pStyle w:val="Heading2"/>
              <w:numPr>
                <w:ilvl w:val="0"/>
                <w:numId w:val="29"/>
              </w:numPr>
              <w:spacing w:before="0" w:after="0" w:line="240" w:lineRule="auto"/>
              <w:outlineLvl w:val="1"/>
              <w:rPr>
                <w:b w:val="0"/>
                <w:bCs/>
                <w:color w:val="auto"/>
                <w:sz w:val="20"/>
                <w:szCs w:val="20"/>
              </w:rPr>
            </w:pPr>
            <w:r w:rsidRPr="00AD7DD3">
              <w:rPr>
                <w:b w:val="0"/>
                <w:bCs/>
                <w:color w:val="auto"/>
                <w:sz w:val="20"/>
                <w:szCs w:val="20"/>
              </w:rPr>
              <w:t>ACT Government:</w:t>
            </w:r>
          </w:p>
          <w:p w14:paraId="49A746D4" w14:textId="765EFD91" w:rsidR="0003667A" w:rsidRPr="00AD7DD3" w:rsidRDefault="000C1245" w:rsidP="00AD7DD3">
            <w:pPr>
              <w:pStyle w:val="ListParagraph"/>
              <w:numPr>
                <w:ilvl w:val="1"/>
                <w:numId w:val="29"/>
              </w:numPr>
              <w:rPr>
                <w:rFonts w:ascii="Arial" w:hAnsi="Arial" w:cs="Arial"/>
                <w:sz w:val="20"/>
                <w:szCs w:val="20"/>
              </w:rPr>
            </w:pPr>
            <w:hyperlink r:id="rId26" w:history="1">
              <w:r w:rsidR="0003667A" w:rsidRPr="00AD7DD3">
                <w:rPr>
                  <w:rStyle w:val="Hyperlink"/>
                  <w:rFonts w:ascii="Arial" w:hAnsi="Arial"/>
                  <w:sz w:val="20"/>
                  <w:szCs w:val="20"/>
                  <w:u w:val="none"/>
                </w:rPr>
                <w:t>AIS Arena COVID</w:t>
              </w:r>
              <w:r w:rsidR="000D0C5D" w:rsidRPr="00AD7DD3">
                <w:rPr>
                  <w:rStyle w:val="Hyperlink"/>
                  <w:rFonts w:ascii="Arial" w:hAnsi="Arial"/>
                  <w:sz w:val="20"/>
                  <w:szCs w:val="20"/>
                  <w:u w:val="none"/>
                </w:rPr>
                <w:t>-19 Mass Vaccination Clinic to Close but Free Vaccines Still Available</w:t>
              </w:r>
            </w:hyperlink>
          </w:p>
          <w:p w14:paraId="24B6F373" w14:textId="66971354" w:rsidR="007B6A79" w:rsidRPr="00AD7DD3" w:rsidRDefault="000C1245" w:rsidP="00AD7DD3">
            <w:pPr>
              <w:pStyle w:val="ListParagraph"/>
              <w:numPr>
                <w:ilvl w:val="1"/>
                <w:numId w:val="29"/>
              </w:numPr>
              <w:rPr>
                <w:rFonts w:ascii="Arial" w:hAnsi="Arial" w:cs="Arial"/>
                <w:sz w:val="20"/>
                <w:szCs w:val="20"/>
              </w:rPr>
            </w:pPr>
            <w:hyperlink r:id="rId27" w:history="1">
              <w:r w:rsidR="0003667A" w:rsidRPr="00AD7DD3">
                <w:rPr>
                  <w:rStyle w:val="Hyperlink"/>
                  <w:rFonts w:ascii="Arial" w:hAnsi="Arial"/>
                  <w:sz w:val="20"/>
                  <w:szCs w:val="20"/>
                  <w:u w:val="none"/>
                </w:rPr>
                <w:t xml:space="preserve">Check In CBR </w:t>
              </w:r>
              <w:r w:rsidR="000D0C5D" w:rsidRPr="00AD7DD3">
                <w:rPr>
                  <w:rStyle w:val="Hyperlink"/>
                  <w:rFonts w:ascii="Arial" w:hAnsi="Arial"/>
                  <w:sz w:val="20"/>
                  <w:szCs w:val="20"/>
                  <w:u w:val="none"/>
                </w:rPr>
                <w:t>App No Longer Mandatory, Upgraded for Use as Health Screening Tool</w:t>
              </w:r>
            </w:hyperlink>
          </w:p>
          <w:p w14:paraId="404EADA0" w14:textId="77777777" w:rsidR="007B6A79" w:rsidRDefault="007B6A79" w:rsidP="00610EE2">
            <w:pPr>
              <w:pStyle w:val="Heading2"/>
              <w:spacing w:before="0" w:after="0"/>
              <w:outlineLvl w:val="1"/>
            </w:pPr>
          </w:p>
          <w:p w14:paraId="14C55895" w14:textId="34126237" w:rsidR="00B95267" w:rsidRPr="00F80FB6" w:rsidRDefault="00B95267" w:rsidP="00610EE2">
            <w:pPr>
              <w:pStyle w:val="Heading2"/>
              <w:spacing w:before="0" w:after="0"/>
              <w:outlineLvl w:val="1"/>
            </w:pPr>
            <w:r w:rsidRPr="00F80FB6">
              <w:t>NT</w:t>
            </w:r>
          </w:p>
          <w:p w14:paraId="5569B11B" w14:textId="21C5C929" w:rsidR="00B95267" w:rsidRPr="00AD7DD3" w:rsidRDefault="00F36BED" w:rsidP="00AD7DD3">
            <w:pPr>
              <w:pStyle w:val="Heading2"/>
              <w:numPr>
                <w:ilvl w:val="0"/>
                <w:numId w:val="29"/>
              </w:numPr>
              <w:spacing w:before="0" w:after="0" w:line="240" w:lineRule="auto"/>
              <w:outlineLvl w:val="1"/>
              <w:rPr>
                <w:b w:val="0"/>
                <w:bCs/>
                <w:color w:val="auto"/>
                <w:sz w:val="20"/>
                <w:szCs w:val="20"/>
              </w:rPr>
            </w:pPr>
            <w:r w:rsidRPr="00AD7DD3">
              <w:rPr>
                <w:b w:val="0"/>
                <w:bCs/>
                <w:color w:val="auto"/>
                <w:sz w:val="20"/>
                <w:szCs w:val="20"/>
              </w:rPr>
              <w:t xml:space="preserve">NT Government: </w:t>
            </w:r>
            <w:hyperlink r:id="rId28" w:history="1">
              <w:r w:rsidRPr="00AD7DD3">
                <w:rPr>
                  <w:rStyle w:val="Hyperlink"/>
                  <w:b w:val="0"/>
                  <w:bCs/>
                  <w:sz w:val="20"/>
                  <w:szCs w:val="20"/>
                  <w:u w:val="none"/>
                </w:rPr>
                <w:t>Excluded Communities</w:t>
              </w:r>
            </w:hyperlink>
          </w:p>
          <w:p w14:paraId="20928D53" w14:textId="77777777" w:rsidR="007B6A79" w:rsidRDefault="007B6A79" w:rsidP="00610EE2">
            <w:pPr>
              <w:pStyle w:val="Heading2"/>
              <w:spacing w:before="0" w:after="0"/>
              <w:outlineLvl w:val="1"/>
            </w:pPr>
          </w:p>
          <w:p w14:paraId="25F6A8E8" w14:textId="28E2D1AC" w:rsidR="00B95267" w:rsidRPr="00F80FB6" w:rsidRDefault="00B95267" w:rsidP="00610EE2">
            <w:pPr>
              <w:pStyle w:val="Heading2"/>
              <w:spacing w:before="0" w:after="0"/>
              <w:outlineLvl w:val="1"/>
            </w:pPr>
            <w:r w:rsidRPr="00F80FB6">
              <w:t>TAS</w:t>
            </w:r>
          </w:p>
          <w:p w14:paraId="4B7BF171" w14:textId="75FF9D6B" w:rsidR="007B6A79" w:rsidRPr="00AD7DD3" w:rsidRDefault="007939C5" w:rsidP="00AD7DD3">
            <w:pPr>
              <w:pStyle w:val="Heading2"/>
              <w:numPr>
                <w:ilvl w:val="0"/>
                <w:numId w:val="29"/>
              </w:numPr>
              <w:spacing w:before="0" w:after="0" w:line="240" w:lineRule="auto"/>
              <w:outlineLvl w:val="1"/>
              <w:rPr>
                <w:b w:val="0"/>
                <w:color w:val="auto"/>
                <w:sz w:val="20"/>
                <w:szCs w:val="20"/>
              </w:rPr>
            </w:pPr>
            <w:r w:rsidRPr="00AD7DD3">
              <w:rPr>
                <w:b w:val="0"/>
                <w:color w:val="auto"/>
                <w:sz w:val="20"/>
                <w:szCs w:val="20"/>
              </w:rPr>
              <w:t xml:space="preserve">Tasmanian Government: </w:t>
            </w:r>
            <w:hyperlink r:id="rId29" w:history="1">
              <w:r w:rsidRPr="00AD7DD3">
                <w:rPr>
                  <w:rStyle w:val="Hyperlink"/>
                  <w:b w:val="0"/>
                  <w:sz w:val="20"/>
                  <w:szCs w:val="20"/>
                  <w:u w:val="none"/>
                </w:rPr>
                <w:t>Voting Options for People with COVID-19</w:t>
              </w:r>
            </w:hyperlink>
          </w:p>
          <w:p w14:paraId="4FC11AAD" w14:textId="77777777" w:rsidR="007B6A79" w:rsidRDefault="007B6A79" w:rsidP="00610EE2">
            <w:pPr>
              <w:pStyle w:val="Heading2"/>
              <w:spacing w:before="0" w:after="0"/>
              <w:outlineLvl w:val="1"/>
            </w:pPr>
          </w:p>
          <w:p w14:paraId="2D5FFB84" w14:textId="25808D7F" w:rsidR="00B95267" w:rsidRDefault="00B95267" w:rsidP="00610EE2">
            <w:pPr>
              <w:pStyle w:val="Heading2"/>
              <w:spacing w:before="0" w:after="0"/>
              <w:outlineLvl w:val="1"/>
            </w:pPr>
            <w:r>
              <w:t>WA</w:t>
            </w:r>
          </w:p>
          <w:p w14:paraId="685B86FD" w14:textId="231C5E4C" w:rsidR="007B6A79" w:rsidRPr="00AD7DD3" w:rsidRDefault="007939C5" w:rsidP="00AD7DD3">
            <w:pPr>
              <w:pStyle w:val="Heading2"/>
              <w:numPr>
                <w:ilvl w:val="0"/>
                <w:numId w:val="29"/>
              </w:numPr>
              <w:spacing w:before="0" w:after="0" w:line="240" w:lineRule="auto"/>
              <w:outlineLvl w:val="1"/>
              <w:rPr>
                <w:b w:val="0"/>
                <w:bCs/>
                <w:color w:val="auto"/>
                <w:sz w:val="20"/>
                <w:szCs w:val="20"/>
              </w:rPr>
            </w:pPr>
            <w:r w:rsidRPr="00AD7DD3">
              <w:rPr>
                <w:b w:val="0"/>
                <w:bCs/>
                <w:color w:val="auto"/>
                <w:sz w:val="20"/>
                <w:szCs w:val="20"/>
              </w:rPr>
              <w:t xml:space="preserve">WA Government: </w:t>
            </w:r>
            <w:hyperlink r:id="rId30" w:history="1">
              <w:r w:rsidRPr="00AD7DD3">
                <w:rPr>
                  <w:rStyle w:val="Hyperlink"/>
                  <w:b w:val="0"/>
                  <w:bCs/>
                  <w:sz w:val="20"/>
                  <w:szCs w:val="20"/>
                  <w:u w:val="none"/>
                </w:rPr>
                <w:t>Drive-Through Collection Sites to Open for Free RATs for Close Contacts</w:t>
              </w:r>
            </w:hyperlink>
          </w:p>
          <w:p w14:paraId="2DAEC9CD" w14:textId="77777777" w:rsidR="007B6A79" w:rsidRDefault="007B6A79" w:rsidP="00610EE2">
            <w:pPr>
              <w:pStyle w:val="Heading2"/>
              <w:spacing w:before="0" w:after="0"/>
              <w:outlineLvl w:val="1"/>
            </w:pPr>
          </w:p>
          <w:p w14:paraId="092A29A9" w14:textId="77777777" w:rsidR="007B6A79" w:rsidRPr="00F80FB6" w:rsidRDefault="007B6A79" w:rsidP="00610EE2">
            <w:pPr>
              <w:pStyle w:val="Heading2"/>
              <w:spacing w:before="0" w:after="0"/>
              <w:outlineLvl w:val="1"/>
            </w:pPr>
            <w:r>
              <w:t>NZ</w:t>
            </w:r>
          </w:p>
          <w:p w14:paraId="5F8C35A8" w14:textId="77777777" w:rsidR="00772F6F" w:rsidRPr="00AD7DD3" w:rsidRDefault="00AE34CD" w:rsidP="00AD7DD3">
            <w:pPr>
              <w:pStyle w:val="Heading2"/>
              <w:numPr>
                <w:ilvl w:val="0"/>
                <w:numId w:val="29"/>
              </w:numPr>
              <w:spacing w:before="0" w:after="0" w:line="240" w:lineRule="auto"/>
              <w:outlineLvl w:val="1"/>
              <w:rPr>
                <w:color w:val="auto"/>
                <w:sz w:val="20"/>
                <w:szCs w:val="20"/>
              </w:rPr>
            </w:pPr>
            <w:r w:rsidRPr="00AD7DD3">
              <w:rPr>
                <w:b w:val="0"/>
                <w:bCs/>
                <w:color w:val="auto"/>
                <w:sz w:val="20"/>
                <w:szCs w:val="20"/>
              </w:rPr>
              <w:t>NZ Government</w:t>
            </w:r>
            <w:r w:rsidR="00BA4A02" w:rsidRPr="00AD7DD3">
              <w:rPr>
                <w:b w:val="0"/>
                <w:bCs/>
                <w:color w:val="auto"/>
                <w:sz w:val="20"/>
                <w:szCs w:val="20"/>
              </w:rPr>
              <w:t xml:space="preserve">: </w:t>
            </w:r>
          </w:p>
          <w:p w14:paraId="6501CDEB" w14:textId="77777777" w:rsidR="00AD7DD3" w:rsidRPr="00AD7DD3" w:rsidRDefault="000C1245" w:rsidP="00AD7DD3">
            <w:pPr>
              <w:pStyle w:val="ListParagraph"/>
              <w:numPr>
                <w:ilvl w:val="1"/>
                <w:numId w:val="29"/>
              </w:numPr>
              <w:rPr>
                <w:rFonts w:ascii="Arial" w:hAnsi="Arial" w:cs="Arial"/>
                <w:sz w:val="20"/>
                <w:szCs w:val="20"/>
              </w:rPr>
            </w:pPr>
            <w:hyperlink r:id="rId31" w:history="1">
              <w:r w:rsidR="00AD7DD3" w:rsidRPr="00AD7DD3">
                <w:rPr>
                  <w:rStyle w:val="Hyperlink"/>
                  <w:rFonts w:ascii="Arial" w:hAnsi="Arial"/>
                  <w:sz w:val="20"/>
                  <w:szCs w:val="20"/>
                  <w:u w:val="none"/>
                </w:rPr>
                <w:t>Avoid COVID Reinfection This Winter</w:t>
              </w:r>
            </w:hyperlink>
          </w:p>
          <w:p w14:paraId="40A2ECEA" w14:textId="77777777" w:rsidR="00AD7DD3" w:rsidRPr="00AD7DD3" w:rsidRDefault="000C1245" w:rsidP="00AD7DD3">
            <w:pPr>
              <w:pStyle w:val="ListParagraph"/>
              <w:numPr>
                <w:ilvl w:val="1"/>
                <w:numId w:val="29"/>
              </w:numPr>
              <w:rPr>
                <w:rStyle w:val="Hyperlink"/>
                <w:rFonts w:ascii="Arial" w:hAnsi="Arial"/>
                <w:color w:val="auto"/>
                <w:sz w:val="20"/>
                <w:szCs w:val="20"/>
                <w:u w:val="none"/>
              </w:rPr>
            </w:pPr>
            <w:hyperlink r:id="rId32" w:history="1">
              <w:r w:rsidR="00AD7DD3" w:rsidRPr="00AD7DD3">
                <w:rPr>
                  <w:rStyle w:val="Hyperlink"/>
                  <w:rFonts w:ascii="Arial" w:hAnsi="Arial"/>
                  <w:sz w:val="20"/>
                  <w:szCs w:val="20"/>
                  <w:u w:val="none"/>
                </w:rPr>
                <w:t>Fully Open Border and Immigration Changes Speed Up Economic Growth</w:t>
              </w:r>
            </w:hyperlink>
          </w:p>
          <w:p w14:paraId="49E267DA" w14:textId="2EA30FD3" w:rsidR="00AD7DD3" w:rsidRPr="00AD7DD3" w:rsidRDefault="000C1245" w:rsidP="00AD7DD3">
            <w:pPr>
              <w:pStyle w:val="ListParagraph"/>
              <w:numPr>
                <w:ilvl w:val="1"/>
                <w:numId w:val="29"/>
              </w:numPr>
              <w:rPr>
                <w:rStyle w:val="Hyperlink"/>
                <w:rFonts w:ascii="Arial" w:hAnsi="Arial"/>
                <w:color w:val="auto"/>
                <w:sz w:val="20"/>
                <w:szCs w:val="20"/>
                <w:u w:val="none"/>
              </w:rPr>
            </w:pPr>
            <w:hyperlink r:id="rId33" w:history="1">
              <w:r w:rsidR="00BA4A02" w:rsidRPr="00AD7DD3">
                <w:rPr>
                  <w:rStyle w:val="Hyperlink"/>
                  <w:rFonts w:ascii="Arial" w:hAnsi="Arial"/>
                  <w:bCs/>
                  <w:sz w:val="20"/>
                  <w:szCs w:val="20"/>
                  <w:u w:val="none"/>
                </w:rPr>
                <w:t xml:space="preserve">Updated My Vaccine Pass for </w:t>
              </w:r>
              <w:r w:rsidR="000D0C5D" w:rsidRPr="00AD7DD3">
                <w:rPr>
                  <w:rStyle w:val="Hyperlink"/>
                  <w:rFonts w:ascii="Arial" w:hAnsi="Arial"/>
                  <w:bCs/>
                  <w:sz w:val="20"/>
                  <w:szCs w:val="20"/>
                  <w:u w:val="none"/>
                </w:rPr>
                <w:t>T</w:t>
              </w:r>
              <w:r w:rsidR="00BA4A02" w:rsidRPr="00AD7DD3">
                <w:rPr>
                  <w:rStyle w:val="Hyperlink"/>
                  <w:rFonts w:ascii="Arial" w:hAnsi="Arial"/>
                  <w:bCs/>
                  <w:sz w:val="20"/>
                  <w:szCs w:val="20"/>
                  <w:u w:val="none"/>
                </w:rPr>
                <w:t xml:space="preserve">hose </w:t>
              </w:r>
              <w:r w:rsidR="000D0C5D" w:rsidRPr="00AD7DD3">
                <w:rPr>
                  <w:rStyle w:val="Hyperlink"/>
                  <w:rFonts w:ascii="Arial" w:hAnsi="Arial"/>
                  <w:bCs/>
                  <w:sz w:val="20"/>
                  <w:szCs w:val="20"/>
                  <w:u w:val="none"/>
                </w:rPr>
                <w:t>W</w:t>
              </w:r>
              <w:r w:rsidR="00BA4A02" w:rsidRPr="00AD7DD3">
                <w:rPr>
                  <w:rStyle w:val="Hyperlink"/>
                  <w:rFonts w:ascii="Arial" w:hAnsi="Arial"/>
                  <w:bCs/>
                  <w:sz w:val="20"/>
                  <w:szCs w:val="20"/>
                  <w:u w:val="none"/>
                </w:rPr>
                <w:t xml:space="preserve">ho </w:t>
              </w:r>
              <w:r w:rsidR="000D0C5D" w:rsidRPr="00AD7DD3">
                <w:rPr>
                  <w:rStyle w:val="Hyperlink"/>
                  <w:rFonts w:ascii="Arial" w:hAnsi="Arial"/>
                  <w:bCs/>
                  <w:sz w:val="20"/>
                  <w:szCs w:val="20"/>
                  <w:u w:val="none"/>
                </w:rPr>
                <w:t>W</w:t>
              </w:r>
              <w:r w:rsidR="00BA4A02" w:rsidRPr="00AD7DD3">
                <w:rPr>
                  <w:rStyle w:val="Hyperlink"/>
                  <w:rFonts w:ascii="Arial" w:hAnsi="Arial"/>
                  <w:bCs/>
                  <w:sz w:val="20"/>
                  <w:szCs w:val="20"/>
                  <w:u w:val="none"/>
                </w:rPr>
                <w:t xml:space="preserve">ant </w:t>
              </w:r>
              <w:r w:rsidR="000D0C5D" w:rsidRPr="00AD7DD3">
                <w:rPr>
                  <w:rStyle w:val="Hyperlink"/>
                  <w:rFonts w:ascii="Arial" w:hAnsi="Arial"/>
                  <w:bCs/>
                  <w:sz w:val="20"/>
                  <w:szCs w:val="20"/>
                  <w:u w:val="none"/>
                </w:rPr>
                <w:t>I</w:t>
              </w:r>
              <w:r w:rsidR="00BA4A02" w:rsidRPr="00AD7DD3">
                <w:rPr>
                  <w:rStyle w:val="Hyperlink"/>
                  <w:rFonts w:ascii="Arial" w:hAnsi="Arial"/>
                  <w:bCs/>
                  <w:sz w:val="20"/>
                  <w:szCs w:val="20"/>
                  <w:u w:val="none"/>
                </w:rPr>
                <w:t>t</w:t>
              </w:r>
            </w:hyperlink>
          </w:p>
          <w:p w14:paraId="501D83F9" w14:textId="423016AB" w:rsidR="00AD7DD3" w:rsidRPr="00AD7DD3" w:rsidRDefault="00AD7DD3" w:rsidP="00AD7DD3"/>
        </w:tc>
      </w:tr>
      <w:tr w:rsidR="00D0437B" w:rsidRPr="00D0437B" w14:paraId="45B9D4FC" w14:textId="77777777" w:rsidTr="00D0437B">
        <w:tc>
          <w:tcPr>
            <w:tcW w:w="5000" w:type="pct"/>
            <w:gridSpan w:val="3"/>
            <w:shd w:val="clear" w:color="auto" w:fill="auto"/>
            <w:tcMar>
              <w:bottom w:w="113" w:type="dxa"/>
            </w:tcMar>
          </w:tcPr>
          <w:p w14:paraId="359C3C15" w14:textId="77777777" w:rsidR="00D0437B" w:rsidRPr="00D0437B" w:rsidRDefault="00D0437B" w:rsidP="00D0437B">
            <w:pPr>
              <w:rPr>
                <w:sz w:val="8"/>
                <w:szCs w:val="8"/>
              </w:rPr>
            </w:pPr>
          </w:p>
        </w:tc>
      </w:tr>
      <w:tr w:rsidR="00D0437B" w:rsidRPr="00E5389F" w14:paraId="5087BEB2" w14:textId="77777777" w:rsidTr="00D0437B">
        <w:tc>
          <w:tcPr>
            <w:tcW w:w="134" w:type="pct"/>
            <w:tcBorders>
              <w:right w:val="single" w:sz="12" w:space="0" w:color="FFFFFF" w:themeColor="background1"/>
            </w:tcBorders>
            <w:shd w:val="clear" w:color="auto" w:fill="2E5577"/>
            <w:tcMar>
              <w:bottom w:w="0" w:type="dxa"/>
            </w:tcMar>
          </w:tcPr>
          <w:p w14:paraId="052C9BD8" w14:textId="77777777" w:rsidR="00D0437B" w:rsidRPr="001375D8" w:rsidRDefault="00D0437B" w:rsidP="001375D8">
            <w:pPr>
              <w:keepNext/>
            </w:pPr>
          </w:p>
        </w:tc>
        <w:tc>
          <w:tcPr>
            <w:tcW w:w="4866" w:type="pct"/>
            <w:gridSpan w:val="2"/>
            <w:tcBorders>
              <w:left w:val="single" w:sz="12" w:space="0" w:color="FFFFFF" w:themeColor="background1"/>
            </w:tcBorders>
            <w:shd w:val="clear" w:color="auto" w:fill="A1C4E9"/>
          </w:tcPr>
          <w:p w14:paraId="1B636E36" w14:textId="5053F616" w:rsidR="00D0437B" w:rsidRPr="00032220" w:rsidRDefault="00D0437B" w:rsidP="001375D8">
            <w:pPr>
              <w:pStyle w:val="Heading1"/>
              <w:keepNext/>
              <w:outlineLvl w:val="0"/>
            </w:pPr>
          </w:p>
        </w:tc>
      </w:tr>
      <w:tr w:rsidR="00D0437B" w:rsidRPr="00D0437B" w14:paraId="18BEC67B" w14:textId="77777777" w:rsidTr="00D0437B">
        <w:tc>
          <w:tcPr>
            <w:tcW w:w="5000" w:type="pct"/>
            <w:gridSpan w:val="3"/>
            <w:shd w:val="clear" w:color="auto" w:fill="auto"/>
            <w:tcMar>
              <w:bottom w:w="113" w:type="dxa"/>
            </w:tcMar>
          </w:tcPr>
          <w:p w14:paraId="02AB8B88" w14:textId="25280C93" w:rsidR="00D0437B" w:rsidRDefault="00674A98" w:rsidP="00D0437B">
            <w:pPr>
              <w:pStyle w:val="BodyText"/>
            </w:pPr>
            <w:r>
              <w:t xml:space="preserve">That completes </w:t>
            </w:r>
            <w:r w:rsidR="00A561E7">
              <w:t xml:space="preserve">this </w:t>
            </w:r>
            <w:r w:rsidR="00594D5F">
              <w:t>edition</w:t>
            </w:r>
            <w:r w:rsidR="00A561E7">
              <w:t xml:space="preserve"> of </w:t>
            </w:r>
            <w:r>
              <w:t xml:space="preserve">the COVID-19 update. The next update will be released on Wednesday </w:t>
            </w:r>
            <w:r w:rsidR="00E9715C">
              <w:t>25 May 2022</w:t>
            </w:r>
            <w:r>
              <w:t>.</w:t>
            </w:r>
          </w:p>
          <w:p w14:paraId="54ECBA95" w14:textId="70D0A2AA" w:rsidR="00D0437B" w:rsidRPr="00D0437B" w:rsidRDefault="00D0437B" w:rsidP="00D0437B">
            <w:pPr>
              <w:rPr>
                <w:sz w:val="8"/>
                <w:szCs w:val="8"/>
              </w:rPr>
            </w:pPr>
          </w:p>
        </w:tc>
      </w:tr>
      <w:tr w:rsidR="00D0437B" w:rsidRPr="00D0437B" w14:paraId="157F79E5" w14:textId="77777777" w:rsidTr="00D0437B">
        <w:tc>
          <w:tcPr>
            <w:tcW w:w="5000" w:type="pct"/>
            <w:gridSpan w:val="3"/>
            <w:tcBorders>
              <w:top w:val="single" w:sz="4" w:space="0" w:color="6A6E71"/>
              <w:bottom w:val="single" w:sz="4" w:space="0" w:color="6A6E71"/>
            </w:tcBorders>
            <w:shd w:val="clear" w:color="auto" w:fill="auto"/>
            <w:tcMar>
              <w:bottom w:w="113" w:type="dxa"/>
            </w:tcMar>
          </w:tcPr>
          <w:p w14:paraId="69D11780" w14:textId="77777777" w:rsidR="00D0437B" w:rsidRPr="00D0437B" w:rsidRDefault="00D0437B" w:rsidP="00D0437B">
            <w:pPr>
              <w:spacing w:before="60"/>
              <w:jc w:val="center"/>
              <w:rPr>
                <w:sz w:val="8"/>
                <w:szCs w:val="8"/>
              </w:rPr>
            </w:pPr>
            <w:r w:rsidRPr="00D90658">
              <w:rPr>
                <w:rFonts w:ascii="Arial" w:hAnsi="Arial" w:cs="Arial"/>
                <w:b/>
                <w:color w:val="6A6E71"/>
                <w:sz w:val="18"/>
                <w:szCs w:val="18"/>
              </w:rPr>
              <w:t>Environment Essentials Pty Ltd</w:t>
            </w:r>
            <w:r w:rsidRPr="00D90658">
              <w:rPr>
                <w:rFonts w:ascii="Arial" w:hAnsi="Arial" w:cs="Arial"/>
                <w:color w:val="6A6E71"/>
                <w:sz w:val="18"/>
                <w:szCs w:val="18"/>
              </w:rPr>
              <w:t xml:space="preserve">  ǀ  ABN: 29 103 207 638</w:t>
            </w:r>
            <w:r>
              <w:rPr>
                <w:rFonts w:ascii="Arial" w:hAnsi="Arial" w:cs="Arial"/>
                <w:color w:val="6A6E71"/>
                <w:sz w:val="18"/>
                <w:szCs w:val="18"/>
              </w:rPr>
              <w:br/>
            </w:r>
            <w:r w:rsidRPr="00D90658">
              <w:rPr>
                <w:rFonts w:ascii="Arial" w:hAnsi="Arial" w:cs="Arial"/>
                <w:b/>
                <w:color w:val="6A6E71"/>
                <w:sz w:val="18"/>
                <w:szCs w:val="18"/>
              </w:rPr>
              <w:t>A</w:t>
            </w:r>
            <w:r w:rsidRPr="00D90658">
              <w:rPr>
                <w:rFonts w:ascii="Arial" w:hAnsi="Arial" w:cs="Arial"/>
                <w:color w:val="6A6E71"/>
                <w:sz w:val="18"/>
                <w:szCs w:val="18"/>
              </w:rPr>
              <w:t xml:space="preserve"> Suite 8 / 8 Clay Drive, Doncaster Vic 3108, Australia</w:t>
            </w:r>
            <w:r>
              <w:rPr>
                <w:rFonts w:ascii="Arial" w:hAnsi="Arial" w:cs="Arial"/>
                <w:color w:val="6A6E71"/>
                <w:sz w:val="18"/>
                <w:szCs w:val="18"/>
              </w:rPr>
              <w:t xml:space="preserve">  </w:t>
            </w:r>
            <w:r w:rsidRPr="00D90658">
              <w:rPr>
                <w:rFonts w:ascii="Arial" w:hAnsi="Arial" w:cs="Arial"/>
                <w:color w:val="6A6E71"/>
                <w:sz w:val="18"/>
                <w:szCs w:val="18"/>
              </w:rPr>
              <w:t>ǀ</w:t>
            </w:r>
            <w:r>
              <w:rPr>
                <w:rFonts w:ascii="Arial" w:hAnsi="Arial" w:cs="Arial"/>
                <w:color w:val="6A6E71"/>
                <w:sz w:val="18"/>
                <w:szCs w:val="18"/>
              </w:rPr>
              <w:t xml:space="preserve">  </w:t>
            </w:r>
            <w:r w:rsidRPr="00D90658">
              <w:rPr>
                <w:rFonts w:ascii="Arial" w:hAnsi="Arial" w:cs="Arial"/>
                <w:b/>
                <w:color w:val="6A6E71"/>
                <w:sz w:val="18"/>
                <w:szCs w:val="18"/>
              </w:rPr>
              <w:t>T</w:t>
            </w:r>
            <w:r w:rsidRPr="00D90658">
              <w:rPr>
                <w:rFonts w:ascii="Arial" w:hAnsi="Arial" w:cs="Arial"/>
                <w:color w:val="6A6E71"/>
                <w:sz w:val="18"/>
                <w:szCs w:val="18"/>
              </w:rPr>
              <w:t xml:space="preserve"> +61 3 9095 6533  </w:t>
            </w:r>
            <w:r>
              <w:rPr>
                <w:rFonts w:ascii="Arial" w:hAnsi="Arial" w:cs="Arial"/>
                <w:color w:val="6A6E71"/>
                <w:sz w:val="18"/>
                <w:szCs w:val="18"/>
              </w:rPr>
              <w:br/>
            </w:r>
            <w:r w:rsidRPr="00D90658">
              <w:rPr>
                <w:rFonts w:ascii="Arial" w:hAnsi="Arial" w:cs="Arial"/>
                <w:b/>
                <w:color w:val="6A6E71"/>
                <w:sz w:val="18"/>
                <w:szCs w:val="18"/>
              </w:rPr>
              <w:t>W</w:t>
            </w:r>
            <w:r w:rsidRPr="00D90658">
              <w:rPr>
                <w:rFonts w:ascii="Arial" w:hAnsi="Arial" w:cs="Arial"/>
                <w:color w:val="6A6E71"/>
                <w:sz w:val="18"/>
                <w:szCs w:val="18"/>
              </w:rPr>
              <w:t xml:space="preserve"> </w:t>
            </w:r>
            <w:r w:rsidRPr="00D90658">
              <w:rPr>
                <w:rFonts w:ascii="Arial" w:hAnsi="Arial" w:cs="Arial"/>
                <w:color w:val="6A6E71"/>
                <w:sz w:val="18"/>
                <w:szCs w:val="18"/>
                <w:u w:val="single"/>
              </w:rPr>
              <w:t>www.enviroessentials.com.au</w:t>
            </w:r>
          </w:p>
        </w:tc>
      </w:tr>
    </w:tbl>
    <w:p w14:paraId="56740B59" w14:textId="77777777" w:rsidR="008C2FAF" w:rsidRDefault="00D0437B" w:rsidP="00032220">
      <w:pPr>
        <w:pStyle w:val="BodyText"/>
      </w:pPr>
      <w:r>
        <w:t xml:space="preserve"> </w:t>
      </w:r>
    </w:p>
    <w:sectPr w:rsidR="008C2FAF" w:rsidSect="006F322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3B48" w14:textId="77777777" w:rsidR="00CF4AE2" w:rsidRDefault="00CF4AE2" w:rsidP="00105755">
      <w:pPr>
        <w:spacing w:after="0" w:line="240" w:lineRule="auto"/>
      </w:pPr>
      <w:r>
        <w:separator/>
      </w:r>
    </w:p>
  </w:endnote>
  <w:endnote w:type="continuationSeparator" w:id="0">
    <w:p w14:paraId="0BAC594C" w14:textId="77777777" w:rsidR="00CF4AE2" w:rsidRDefault="00CF4AE2" w:rsidP="0010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C6CB" w14:textId="77777777" w:rsidR="00CF4AE2" w:rsidRDefault="00CF4AE2" w:rsidP="00105755">
      <w:pPr>
        <w:spacing w:after="0" w:line="240" w:lineRule="auto"/>
      </w:pPr>
      <w:r>
        <w:separator/>
      </w:r>
    </w:p>
  </w:footnote>
  <w:footnote w:type="continuationSeparator" w:id="0">
    <w:p w14:paraId="41A31ECE" w14:textId="77777777" w:rsidR="00CF4AE2" w:rsidRDefault="00CF4AE2" w:rsidP="00105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5F7"/>
    <w:multiLevelType w:val="hybridMultilevel"/>
    <w:tmpl w:val="BA26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76B6"/>
    <w:multiLevelType w:val="hybridMultilevel"/>
    <w:tmpl w:val="E94000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D226A"/>
    <w:multiLevelType w:val="hybridMultilevel"/>
    <w:tmpl w:val="7EA27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07896"/>
    <w:multiLevelType w:val="hybridMultilevel"/>
    <w:tmpl w:val="E14CE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05FD5"/>
    <w:multiLevelType w:val="hybridMultilevel"/>
    <w:tmpl w:val="5EBE0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15BEC"/>
    <w:multiLevelType w:val="hybridMultilevel"/>
    <w:tmpl w:val="483EC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307381"/>
    <w:multiLevelType w:val="hybridMultilevel"/>
    <w:tmpl w:val="DE2E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10781"/>
    <w:multiLevelType w:val="hybridMultilevel"/>
    <w:tmpl w:val="2F06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167A9"/>
    <w:multiLevelType w:val="hybridMultilevel"/>
    <w:tmpl w:val="EAA8C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54DA7"/>
    <w:multiLevelType w:val="hybridMultilevel"/>
    <w:tmpl w:val="8692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A61D44"/>
    <w:multiLevelType w:val="hybridMultilevel"/>
    <w:tmpl w:val="86C6E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372475"/>
    <w:multiLevelType w:val="hybridMultilevel"/>
    <w:tmpl w:val="CF5C99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28337014"/>
    <w:multiLevelType w:val="hybridMultilevel"/>
    <w:tmpl w:val="F75ABC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06776"/>
    <w:multiLevelType w:val="hybridMultilevel"/>
    <w:tmpl w:val="5782A312"/>
    <w:lvl w:ilvl="0" w:tplc="7C1CCEEC">
      <w:start w:val="1"/>
      <w:numFmt w:val="bullet"/>
      <w:pStyle w:val="Bullettext"/>
      <w:lvlText w:val=""/>
      <w:lvlJc w:val="left"/>
      <w:pPr>
        <w:ind w:left="360" w:hanging="360"/>
      </w:pPr>
      <w:rPr>
        <w:rFonts w:ascii="Symbol" w:hAnsi="Symbol" w:hint="default"/>
        <w:b w:val="0"/>
        <w:i w:val="0"/>
        <w:color w:val="314F9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F92218"/>
    <w:multiLevelType w:val="hybridMultilevel"/>
    <w:tmpl w:val="784ED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0A39B2"/>
    <w:multiLevelType w:val="hybridMultilevel"/>
    <w:tmpl w:val="43B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8487F"/>
    <w:multiLevelType w:val="hybridMultilevel"/>
    <w:tmpl w:val="ECCE4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D6B25"/>
    <w:multiLevelType w:val="hybridMultilevel"/>
    <w:tmpl w:val="915CE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22137"/>
    <w:multiLevelType w:val="hybridMultilevel"/>
    <w:tmpl w:val="06A0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A527A7"/>
    <w:multiLevelType w:val="hybridMultilevel"/>
    <w:tmpl w:val="B6B83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AD3325"/>
    <w:multiLevelType w:val="hybridMultilevel"/>
    <w:tmpl w:val="9732C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777AD"/>
    <w:multiLevelType w:val="hybridMultilevel"/>
    <w:tmpl w:val="D8304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827F57"/>
    <w:multiLevelType w:val="hybridMultilevel"/>
    <w:tmpl w:val="30F22402"/>
    <w:lvl w:ilvl="0" w:tplc="31EA3442">
      <w:start w:val="1"/>
      <w:numFmt w:val="bullet"/>
      <w:lvlText w:val=""/>
      <w:lvlJc w:val="left"/>
      <w:pPr>
        <w:ind w:left="360" w:hanging="360"/>
      </w:pPr>
      <w:rPr>
        <w:rFonts w:ascii="Symbol" w:hAnsi="Symbol" w:hint="default"/>
        <w:b w:val="0"/>
        <w:i w:val="0"/>
        <w:color w:val="385596"/>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9A51F6"/>
    <w:multiLevelType w:val="hybridMultilevel"/>
    <w:tmpl w:val="30407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570EA2"/>
    <w:multiLevelType w:val="hybridMultilevel"/>
    <w:tmpl w:val="200E1124"/>
    <w:lvl w:ilvl="0" w:tplc="4F1EAFFA">
      <w:start w:val="1"/>
      <w:numFmt w:val="bullet"/>
      <w:lvlText w:val=""/>
      <w:lvlJc w:val="left"/>
      <w:pPr>
        <w:ind w:left="360" w:hanging="360"/>
      </w:pPr>
      <w:rPr>
        <w:rFonts w:ascii="Wingdings" w:hAnsi="Wingdings"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751224"/>
    <w:multiLevelType w:val="hybridMultilevel"/>
    <w:tmpl w:val="34DE7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06608B"/>
    <w:multiLevelType w:val="hybridMultilevel"/>
    <w:tmpl w:val="D5B4D560"/>
    <w:lvl w:ilvl="0" w:tplc="718EDE72">
      <w:start w:val="1"/>
      <w:numFmt w:val="bullet"/>
      <w:lvlText w:val=""/>
      <w:lvlJc w:val="left"/>
      <w:pPr>
        <w:ind w:left="360" w:hanging="360"/>
      </w:pPr>
      <w:rPr>
        <w:rFonts w:ascii="Symbol" w:hAnsi="Symbol" w:hint="default"/>
        <w:b w:val="0"/>
        <w:i w:val="0"/>
        <w:color w:val="556940"/>
        <w:sz w:val="24"/>
      </w:rPr>
    </w:lvl>
    <w:lvl w:ilvl="1" w:tplc="C83C319A">
      <w:start w:val="1"/>
      <w:numFmt w:val="bullet"/>
      <w:lvlText w:val="­"/>
      <w:lvlJc w:val="left"/>
      <w:pPr>
        <w:ind w:left="1080" w:hanging="360"/>
      </w:pPr>
      <w:rPr>
        <w:rFonts w:ascii="Courier New" w:hAnsi="Courier New" w:hint="default"/>
        <w:color w:val="6A6E7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8C2677"/>
    <w:multiLevelType w:val="hybridMultilevel"/>
    <w:tmpl w:val="95EE5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E12567"/>
    <w:multiLevelType w:val="hybridMultilevel"/>
    <w:tmpl w:val="1CD2F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2299103">
    <w:abstractNumId w:val="24"/>
  </w:num>
  <w:num w:numId="2" w16cid:durableId="1256284736">
    <w:abstractNumId w:val="24"/>
  </w:num>
  <w:num w:numId="3" w16cid:durableId="1490902932">
    <w:abstractNumId w:val="26"/>
  </w:num>
  <w:num w:numId="4" w16cid:durableId="1992951459">
    <w:abstractNumId w:val="22"/>
  </w:num>
  <w:num w:numId="5" w16cid:durableId="138039290">
    <w:abstractNumId w:val="13"/>
  </w:num>
  <w:num w:numId="6" w16cid:durableId="1993488986">
    <w:abstractNumId w:val="15"/>
  </w:num>
  <w:num w:numId="7" w16cid:durableId="1042361501">
    <w:abstractNumId w:val="6"/>
  </w:num>
  <w:num w:numId="8" w16cid:durableId="257105417">
    <w:abstractNumId w:val="0"/>
  </w:num>
  <w:num w:numId="9" w16cid:durableId="736823878">
    <w:abstractNumId w:val="4"/>
  </w:num>
  <w:num w:numId="10" w16cid:durableId="993145722">
    <w:abstractNumId w:val="1"/>
  </w:num>
  <w:num w:numId="11" w16cid:durableId="1557810749">
    <w:abstractNumId w:val="17"/>
  </w:num>
  <w:num w:numId="12" w16cid:durableId="125779661">
    <w:abstractNumId w:val="12"/>
  </w:num>
  <w:num w:numId="13" w16cid:durableId="1773696477">
    <w:abstractNumId w:val="27"/>
  </w:num>
  <w:num w:numId="14" w16cid:durableId="350842615">
    <w:abstractNumId w:val="20"/>
  </w:num>
  <w:num w:numId="15" w16cid:durableId="1463576609">
    <w:abstractNumId w:val="28"/>
  </w:num>
  <w:num w:numId="16" w16cid:durableId="1515730611">
    <w:abstractNumId w:val="5"/>
  </w:num>
  <w:num w:numId="17" w16cid:durableId="738862607">
    <w:abstractNumId w:val="3"/>
  </w:num>
  <w:num w:numId="18" w16cid:durableId="1584296774">
    <w:abstractNumId w:val="23"/>
  </w:num>
  <w:num w:numId="19" w16cid:durableId="1042706673">
    <w:abstractNumId w:val="9"/>
  </w:num>
  <w:num w:numId="20" w16cid:durableId="1936327370">
    <w:abstractNumId w:val="21"/>
  </w:num>
  <w:num w:numId="21" w16cid:durableId="429860775">
    <w:abstractNumId w:val="7"/>
  </w:num>
  <w:num w:numId="22" w16cid:durableId="1911965284">
    <w:abstractNumId w:val="14"/>
  </w:num>
  <w:num w:numId="23" w16cid:durableId="868374219">
    <w:abstractNumId w:val="19"/>
  </w:num>
  <w:num w:numId="24" w16cid:durableId="1413088038">
    <w:abstractNumId w:val="2"/>
  </w:num>
  <w:num w:numId="25" w16cid:durableId="699432109">
    <w:abstractNumId w:val="10"/>
  </w:num>
  <w:num w:numId="26" w16cid:durableId="236401726">
    <w:abstractNumId w:val="16"/>
  </w:num>
  <w:num w:numId="27" w16cid:durableId="1786926492">
    <w:abstractNumId w:val="25"/>
  </w:num>
  <w:num w:numId="28" w16cid:durableId="968631782">
    <w:abstractNumId w:val="11"/>
  </w:num>
  <w:num w:numId="29" w16cid:durableId="1072577821">
    <w:abstractNumId w:val="8"/>
  </w:num>
  <w:num w:numId="30" w16cid:durableId="645469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C"/>
    <w:rsid w:val="00014000"/>
    <w:rsid w:val="00032220"/>
    <w:rsid w:val="0003667A"/>
    <w:rsid w:val="00043781"/>
    <w:rsid w:val="000624B5"/>
    <w:rsid w:val="0008078E"/>
    <w:rsid w:val="000A72FC"/>
    <w:rsid w:val="000B45E3"/>
    <w:rsid w:val="000B5727"/>
    <w:rsid w:val="000B6B84"/>
    <w:rsid w:val="000C0B1B"/>
    <w:rsid w:val="000C1245"/>
    <w:rsid w:val="000D0C5D"/>
    <w:rsid w:val="000E114B"/>
    <w:rsid w:val="00105755"/>
    <w:rsid w:val="00111811"/>
    <w:rsid w:val="001375D8"/>
    <w:rsid w:val="001505FA"/>
    <w:rsid w:val="0017669E"/>
    <w:rsid w:val="001A5FF3"/>
    <w:rsid w:val="001B12FD"/>
    <w:rsid w:val="001B1E54"/>
    <w:rsid w:val="001B762A"/>
    <w:rsid w:val="001D40BB"/>
    <w:rsid w:val="001F7793"/>
    <w:rsid w:val="00223C79"/>
    <w:rsid w:val="0023564B"/>
    <w:rsid w:val="00292459"/>
    <w:rsid w:val="002B2F19"/>
    <w:rsid w:val="002F4CB6"/>
    <w:rsid w:val="002F5727"/>
    <w:rsid w:val="002F7CFC"/>
    <w:rsid w:val="003025C7"/>
    <w:rsid w:val="00330741"/>
    <w:rsid w:val="00367A08"/>
    <w:rsid w:val="00376A39"/>
    <w:rsid w:val="0038042A"/>
    <w:rsid w:val="003D6971"/>
    <w:rsid w:val="00413987"/>
    <w:rsid w:val="00433CB8"/>
    <w:rsid w:val="0046207F"/>
    <w:rsid w:val="004712DF"/>
    <w:rsid w:val="0047283A"/>
    <w:rsid w:val="00472A92"/>
    <w:rsid w:val="00473C2B"/>
    <w:rsid w:val="004A1AC1"/>
    <w:rsid w:val="004A5058"/>
    <w:rsid w:val="004C7B62"/>
    <w:rsid w:val="004D053E"/>
    <w:rsid w:val="004E4114"/>
    <w:rsid w:val="004E44AB"/>
    <w:rsid w:val="004E5FE2"/>
    <w:rsid w:val="004F0E06"/>
    <w:rsid w:val="00502500"/>
    <w:rsid w:val="00533728"/>
    <w:rsid w:val="0054215D"/>
    <w:rsid w:val="00544209"/>
    <w:rsid w:val="0056589B"/>
    <w:rsid w:val="00585851"/>
    <w:rsid w:val="00594D5F"/>
    <w:rsid w:val="005B5EB7"/>
    <w:rsid w:val="005F1ED3"/>
    <w:rsid w:val="00610EE2"/>
    <w:rsid w:val="0061202B"/>
    <w:rsid w:val="00621E7B"/>
    <w:rsid w:val="00624FC3"/>
    <w:rsid w:val="00637A59"/>
    <w:rsid w:val="0065676E"/>
    <w:rsid w:val="00674A98"/>
    <w:rsid w:val="006751B3"/>
    <w:rsid w:val="006B13B8"/>
    <w:rsid w:val="006D565A"/>
    <w:rsid w:val="006F05D5"/>
    <w:rsid w:val="006F3229"/>
    <w:rsid w:val="00711E21"/>
    <w:rsid w:val="00714505"/>
    <w:rsid w:val="00727169"/>
    <w:rsid w:val="00737FCB"/>
    <w:rsid w:val="0074026E"/>
    <w:rsid w:val="00753919"/>
    <w:rsid w:val="00765903"/>
    <w:rsid w:val="00772152"/>
    <w:rsid w:val="00772F6F"/>
    <w:rsid w:val="007771FC"/>
    <w:rsid w:val="00785F19"/>
    <w:rsid w:val="00790DFA"/>
    <w:rsid w:val="007939C5"/>
    <w:rsid w:val="007B6A79"/>
    <w:rsid w:val="007C13EE"/>
    <w:rsid w:val="007C5528"/>
    <w:rsid w:val="007D5390"/>
    <w:rsid w:val="007D70B0"/>
    <w:rsid w:val="007E17F5"/>
    <w:rsid w:val="00812309"/>
    <w:rsid w:val="0083687D"/>
    <w:rsid w:val="008854AD"/>
    <w:rsid w:val="00895053"/>
    <w:rsid w:val="0089680E"/>
    <w:rsid w:val="008B4602"/>
    <w:rsid w:val="008C2FAF"/>
    <w:rsid w:val="008D21D1"/>
    <w:rsid w:val="008D7CD5"/>
    <w:rsid w:val="008E28D6"/>
    <w:rsid w:val="00903B7C"/>
    <w:rsid w:val="00926959"/>
    <w:rsid w:val="009332F8"/>
    <w:rsid w:val="00937DAF"/>
    <w:rsid w:val="00953090"/>
    <w:rsid w:val="00985954"/>
    <w:rsid w:val="00990235"/>
    <w:rsid w:val="009A355F"/>
    <w:rsid w:val="009A7F79"/>
    <w:rsid w:val="009E0D4A"/>
    <w:rsid w:val="00A04D9E"/>
    <w:rsid w:val="00A07701"/>
    <w:rsid w:val="00A1795D"/>
    <w:rsid w:val="00A20368"/>
    <w:rsid w:val="00A20C90"/>
    <w:rsid w:val="00A238C5"/>
    <w:rsid w:val="00A32C07"/>
    <w:rsid w:val="00A561E7"/>
    <w:rsid w:val="00A637DB"/>
    <w:rsid w:val="00A6587A"/>
    <w:rsid w:val="00A7391E"/>
    <w:rsid w:val="00A93EC9"/>
    <w:rsid w:val="00AB2CFB"/>
    <w:rsid w:val="00AD2AB1"/>
    <w:rsid w:val="00AD7DD3"/>
    <w:rsid w:val="00AE34CD"/>
    <w:rsid w:val="00B104FD"/>
    <w:rsid w:val="00B33881"/>
    <w:rsid w:val="00B52A86"/>
    <w:rsid w:val="00B64043"/>
    <w:rsid w:val="00B763AB"/>
    <w:rsid w:val="00B823AD"/>
    <w:rsid w:val="00B9148C"/>
    <w:rsid w:val="00B95267"/>
    <w:rsid w:val="00B95416"/>
    <w:rsid w:val="00BA4A02"/>
    <w:rsid w:val="00BC0B07"/>
    <w:rsid w:val="00BF4D15"/>
    <w:rsid w:val="00C65097"/>
    <w:rsid w:val="00C7027C"/>
    <w:rsid w:val="00C80A66"/>
    <w:rsid w:val="00C821FE"/>
    <w:rsid w:val="00CA0D13"/>
    <w:rsid w:val="00CA44D9"/>
    <w:rsid w:val="00CA57BD"/>
    <w:rsid w:val="00CA60DC"/>
    <w:rsid w:val="00CB2D24"/>
    <w:rsid w:val="00CB6D56"/>
    <w:rsid w:val="00CD46D1"/>
    <w:rsid w:val="00CF1329"/>
    <w:rsid w:val="00CF42B0"/>
    <w:rsid w:val="00CF4AE2"/>
    <w:rsid w:val="00CF65A4"/>
    <w:rsid w:val="00D0437B"/>
    <w:rsid w:val="00D12D27"/>
    <w:rsid w:val="00D159F8"/>
    <w:rsid w:val="00D3063B"/>
    <w:rsid w:val="00D31DF1"/>
    <w:rsid w:val="00D5799D"/>
    <w:rsid w:val="00D73EF3"/>
    <w:rsid w:val="00D833AB"/>
    <w:rsid w:val="00D900B5"/>
    <w:rsid w:val="00D90658"/>
    <w:rsid w:val="00D90B54"/>
    <w:rsid w:val="00D92587"/>
    <w:rsid w:val="00D928DD"/>
    <w:rsid w:val="00DB1E4A"/>
    <w:rsid w:val="00DC032E"/>
    <w:rsid w:val="00DD7FFE"/>
    <w:rsid w:val="00DF4505"/>
    <w:rsid w:val="00E06D70"/>
    <w:rsid w:val="00E06E9C"/>
    <w:rsid w:val="00E07F17"/>
    <w:rsid w:val="00E2032A"/>
    <w:rsid w:val="00E32BB6"/>
    <w:rsid w:val="00E40B66"/>
    <w:rsid w:val="00E47657"/>
    <w:rsid w:val="00E5389F"/>
    <w:rsid w:val="00E57A3E"/>
    <w:rsid w:val="00E668E5"/>
    <w:rsid w:val="00E71250"/>
    <w:rsid w:val="00E91313"/>
    <w:rsid w:val="00E9541B"/>
    <w:rsid w:val="00E95C42"/>
    <w:rsid w:val="00E96479"/>
    <w:rsid w:val="00E9715C"/>
    <w:rsid w:val="00EA027A"/>
    <w:rsid w:val="00EB1E06"/>
    <w:rsid w:val="00EC52CB"/>
    <w:rsid w:val="00ED3C1B"/>
    <w:rsid w:val="00EE3B4C"/>
    <w:rsid w:val="00EE3C18"/>
    <w:rsid w:val="00EF2629"/>
    <w:rsid w:val="00F026A3"/>
    <w:rsid w:val="00F36BED"/>
    <w:rsid w:val="00F421EA"/>
    <w:rsid w:val="00F43638"/>
    <w:rsid w:val="00F80FB6"/>
    <w:rsid w:val="00F913B8"/>
    <w:rsid w:val="00F975E9"/>
    <w:rsid w:val="00FC6019"/>
    <w:rsid w:val="00FD6E9F"/>
    <w:rsid w:val="00FD7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49AA6C5"/>
  <w15:chartTrackingRefBased/>
  <w15:docId w15:val="{4A92F9A8-A189-491F-BD18-E63FF6F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37B"/>
  </w:style>
  <w:style w:type="paragraph" w:styleId="Heading1">
    <w:name w:val="heading 1"/>
    <w:aliases w:val="(Jurisdiction)"/>
    <w:basedOn w:val="Normal"/>
    <w:next w:val="Normal"/>
    <w:link w:val="Heading1Char"/>
    <w:uiPriority w:val="9"/>
    <w:qFormat/>
    <w:rsid w:val="00032220"/>
    <w:pPr>
      <w:spacing w:before="40" w:after="40" w:line="240" w:lineRule="auto"/>
      <w:outlineLvl w:val="0"/>
    </w:pPr>
    <w:rPr>
      <w:rFonts w:ascii="Arial" w:eastAsia="MS Gothic" w:hAnsi="Arial" w:cs="Times New Roman"/>
      <w:b/>
      <w:bCs/>
      <w:color w:val="2E5577"/>
      <w:sz w:val="24"/>
      <w:szCs w:val="24"/>
      <w:lang w:val="en-GB"/>
    </w:rPr>
  </w:style>
  <w:style w:type="paragraph" w:styleId="Heading2">
    <w:name w:val="heading 2"/>
    <w:aliases w:val="(Category)"/>
    <w:basedOn w:val="Normal"/>
    <w:next w:val="Normal"/>
    <w:link w:val="Heading2Char"/>
    <w:uiPriority w:val="9"/>
    <w:unhideWhenUsed/>
    <w:qFormat/>
    <w:rsid w:val="004E44AB"/>
    <w:pPr>
      <w:spacing w:before="120" w:after="120" w:line="280" w:lineRule="atLeast"/>
      <w:outlineLvl w:val="1"/>
    </w:pPr>
    <w:rPr>
      <w:rFonts w:ascii="Arial" w:eastAsiaTheme="majorEastAsia" w:hAnsi="Arial" w:cs="Arial"/>
      <w:b/>
      <w:color w:val="2E5577"/>
      <w:szCs w:val="24"/>
    </w:rPr>
  </w:style>
  <w:style w:type="paragraph" w:styleId="Heading3">
    <w:name w:val="heading 3"/>
    <w:basedOn w:val="Heading2"/>
    <w:next w:val="Normal"/>
    <w:link w:val="Heading3Char"/>
    <w:uiPriority w:val="9"/>
    <w:unhideWhenUsed/>
    <w:qFormat/>
    <w:rsid w:val="00032220"/>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755"/>
  </w:style>
  <w:style w:type="paragraph" w:styleId="Footer">
    <w:name w:val="footer"/>
    <w:basedOn w:val="Normal"/>
    <w:link w:val="FooterChar"/>
    <w:uiPriority w:val="99"/>
    <w:unhideWhenUsed/>
    <w:rsid w:val="0010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755"/>
  </w:style>
  <w:style w:type="character" w:customStyle="1" w:styleId="Heading1Char">
    <w:name w:val="Heading 1 Char"/>
    <w:aliases w:val="(Jurisdiction) Char"/>
    <w:basedOn w:val="DefaultParagraphFont"/>
    <w:link w:val="Heading1"/>
    <w:uiPriority w:val="9"/>
    <w:rsid w:val="00032220"/>
    <w:rPr>
      <w:rFonts w:ascii="Arial" w:eastAsia="MS Gothic" w:hAnsi="Arial" w:cs="Times New Roman"/>
      <w:b/>
      <w:bCs/>
      <w:color w:val="2E5577"/>
      <w:sz w:val="24"/>
      <w:szCs w:val="24"/>
      <w:lang w:val="en-GB"/>
    </w:rPr>
  </w:style>
  <w:style w:type="paragraph" w:customStyle="1" w:styleId="Bullettext">
    <w:name w:val="Bullet text"/>
    <w:basedOn w:val="Normal"/>
    <w:rsid w:val="00E71250"/>
    <w:pPr>
      <w:numPr>
        <w:numId w:val="5"/>
      </w:numPr>
      <w:spacing w:after="0" w:line="240" w:lineRule="auto"/>
    </w:pPr>
    <w:rPr>
      <w:rFonts w:ascii="Arial" w:hAnsi="Arial" w:cs="Arial"/>
      <w:color w:val="333333"/>
      <w:sz w:val="20"/>
    </w:rPr>
  </w:style>
  <w:style w:type="character" w:customStyle="1" w:styleId="Heading2Char">
    <w:name w:val="Heading 2 Char"/>
    <w:aliases w:val="(Category) Char"/>
    <w:basedOn w:val="DefaultParagraphFont"/>
    <w:link w:val="Heading2"/>
    <w:uiPriority w:val="9"/>
    <w:rsid w:val="004E44AB"/>
    <w:rPr>
      <w:rFonts w:ascii="Arial" w:eastAsiaTheme="majorEastAsia" w:hAnsi="Arial" w:cs="Arial"/>
      <w:b/>
      <w:color w:val="2E5577"/>
      <w:szCs w:val="24"/>
    </w:rPr>
  </w:style>
  <w:style w:type="table" w:styleId="TableGrid">
    <w:name w:val="Table Grid"/>
    <w:basedOn w:val="TableNormal"/>
    <w:uiPriority w:val="39"/>
    <w:rsid w:val="0010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32220"/>
    <w:rPr>
      <w:rFonts w:ascii="Arial" w:eastAsiaTheme="majorEastAsia" w:hAnsi="Arial" w:cs="Arial"/>
      <w:b/>
      <w:color w:val="2E5577"/>
      <w:sz w:val="20"/>
      <w:szCs w:val="24"/>
    </w:rPr>
  </w:style>
  <w:style w:type="paragraph" w:styleId="Title">
    <w:name w:val="Title"/>
    <w:basedOn w:val="Normal"/>
    <w:next w:val="Normal"/>
    <w:link w:val="TitleChar"/>
    <w:uiPriority w:val="10"/>
    <w:qFormat/>
    <w:rsid w:val="00E96479"/>
    <w:pPr>
      <w:spacing w:after="240" w:line="240" w:lineRule="auto"/>
      <w:contextualSpacing/>
      <w:jc w:val="right"/>
    </w:pPr>
    <w:rPr>
      <w:rFonts w:ascii="Arial" w:eastAsiaTheme="majorEastAsia" w:hAnsi="Arial" w:cs="Arial"/>
      <w:color w:val="2E5577"/>
      <w:spacing w:val="-10"/>
      <w:kern w:val="28"/>
      <w:sz w:val="56"/>
      <w:szCs w:val="56"/>
    </w:rPr>
  </w:style>
  <w:style w:type="character" w:customStyle="1" w:styleId="TitleChar">
    <w:name w:val="Title Char"/>
    <w:basedOn w:val="DefaultParagraphFont"/>
    <w:link w:val="Title"/>
    <w:uiPriority w:val="10"/>
    <w:rsid w:val="00E96479"/>
    <w:rPr>
      <w:rFonts w:ascii="Arial" w:eastAsiaTheme="majorEastAsia" w:hAnsi="Arial" w:cs="Arial"/>
      <w:color w:val="2E5577"/>
      <w:spacing w:val="-10"/>
      <w:kern w:val="28"/>
      <w:sz w:val="56"/>
      <w:szCs w:val="56"/>
    </w:rPr>
  </w:style>
  <w:style w:type="paragraph" w:styleId="Subtitle">
    <w:name w:val="Subtitle"/>
    <w:basedOn w:val="Normal"/>
    <w:next w:val="Normal"/>
    <w:link w:val="SubtitleChar"/>
    <w:uiPriority w:val="11"/>
    <w:qFormat/>
    <w:rsid w:val="00785F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5F19"/>
    <w:rPr>
      <w:rFonts w:eastAsiaTheme="minorEastAsia"/>
      <w:color w:val="5A5A5A" w:themeColor="text1" w:themeTint="A5"/>
      <w:spacing w:val="15"/>
    </w:rPr>
  </w:style>
  <w:style w:type="character" w:styleId="Hyperlink">
    <w:name w:val="Hyperlink"/>
    <w:basedOn w:val="DefaultParagraphFont"/>
    <w:uiPriority w:val="99"/>
    <w:unhideWhenUsed/>
    <w:rsid w:val="00772152"/>
    <w:rPr>
      <w:rFonts w:cs="Arial"/>
      <w:color w:val="0563C1" w:themeColor="hyperlink"/>
      <w:u w:val="single"/>
    </w:rPr>
  </w:style>
  <w:style w:type="paragraph" w:styleId="BalloonText">
    <w:name w:val="Balloon Text"/>
    <w:basedOn w:val="Normal"/>
    <w:link w:val="BalloonTextChar"/>
    <w:uiPriority w:val="99"/>
    <w:semiHidden/>
    <w:unhideWhenUsed/>
    <w:rsid w:val="00812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09"/>
    <w:rPr>
      <w:rFonts w:ascii="Segoe UI" w:hAnsi="Segoe UI" w:cs="Segoe UI"/>
      <w:sz w:val="18"/>
      <w:szCs w:val="18"/>
    </w:rPr>
  </w:style>
  <w:style w:type="paragraph" w:styleId="BodyText">
    <w:name w:val="Body Text"/>
    <w:basedOn w:val="Normal"/>
    <w:link w:val="BodyTextChar"/>
    <w:uiPriority w:val="99"/>
    <w:unhideWhenUsed/>
    <w:rsid w:val="00CF1329"/>
    <w:pPr>
      <w:spacing w:before="120" w:after="120" w:line="280" w:lineRule="atLeast"/>
    </w:pPr>
    <w:rPr>
      <w:rFonts w:ascii="Arial" w:eastAsia="MS Mincho" w:hAnsi="Arial" w:cs="Times New Roman"/>
      <w:color w:val="333333"/>
      <w:sz w:val="20"/>
    </w:rPr>
  </w:style>
  <w:style w:type="character" w:customStyle="1" w:styleId="BodyTextChar">
    <w:name w:val="Body Text Char"/>
    <w:basedOn w:val="DefaultParagraphFont"/>
    <w:link w:val="BodyText"/>
    <w:uiPriority w:val="99"/>
    <w:rsid w:val="00032220"/>
    <w:rPr>
      <w:rFonts w:ascii="Arial" w:eastAsia="MS Mincho" w:hAnsi="Arial" w:cs="Times New Roman"/>
      <w:color w:val="333333"/>
      <w:sz w:val="20"/>
    </w:rPr>
  </w:style>
  <w:style w:type="paragraph" w:customStyle="1" w:styleId="ReferencesHeading">
    <w:name w:val="References Heading"/>
    <w:basedOn w:val="Heading3"/>
    <w:qFormat/>
    <w:rsid w:val="00772152"/>
    <w:pPr>
      <w:spacing w:before="0" w:after="0"/>
    </w:pPr>
  </w:style>
  <w:style w:type="paragraph" w:customStyle="1" w:styleId="Referencetext">
    <w:name w:val="Reference text"/>
    <w:basedOn w:val="BodyText"/>
    <w:qFormat/>
    <w:rsid w:val="00772152"/>
    <w:pPr>
      <w:spacing w:before="0" w:after="0"/>
    </w:pPr>
    <w:rPr>
      <w:sz w:val="18"/>
    </w:rPr>
  </w:style>
  <w:style w:type="paragraph" w:styleId="Date">
    <w:name w:val="Date"/>
    <w:basedOn w:val="Heading3"/>
    <w:next w:val="Normal"/>
    <w:link w:val="DateChar"/>
    <w:uiPriority w:val="99"/>
    <w:unhideWhenUsed/>
    <w:rsid w:val="00CF1329"/>
    <w:pPr>
      <w:jc w:val="right"/>
      <w:outlineLvl w:val="9"/>
    </w:pPr>
    <w:rPr>
      <w:sz w:val="24"/>
    </w:rPr>
  </w:style>
  <w:style w:type="character" w:customStyle="1" w:styleId="DateChar">
    <w:name w:val="Date Char"/>
    <w:basedOn w:val="DefaultParagraphFont"/>
    <w:link w:val="Date"/>
    <w:uiPriority w:val="99"/>
    <w:rsid w:val="00CF1329"/>
    <w:rPr>
      <w:rFonts w:ascii="Arial" w:eastAsiaTheme="majorEastAsia" w:hAnsi="Arial" w:cs="Arial"/>
      <w:b/>
      <w:color w:val="2E5577"/>
      <w:sz w:val="24"/>
      <w:szCs w:val="24"/>
    </w:rPr>
  </w:style>
  <w:style w:type="paragraph" w:customStyle="1" w:styleId="WebsiteLink">
    <w:name w:val="Website Link"/>
    <w:basedOn w:val="BodyText"/>
    <w:qFormat/>
    <w:rsid w:val="00953090"/>
  </w:style>
  <w:style w:type="character" w:styleId="Emphasis">
    <w:name w:val="Emphasis"/>
    <w:basedOn w:val="DefaultParagraphFont"/>
    <w:uiPriority w:val="20"/>
    <w:qFormat/>
    <w:rsid w:val="00111811"/>
    <w:rPr>
      <w:i/>
      <w:iCs/>
    </w:rPr>
  </w:style>
  <w:style w:type="character" w:styleId="FollowedHyperlink">
    <w:name w:val="FollowedHyperlink"/>
    <w:basedOn w:val="DefaultParagraphFont"/>
    <w:uiPriority w:val="99"/>
    <w:semiHidden/>
    <w:unhideWhenUsed/>
    <w:rsid w:val="007D5390"/>
    <w:rPr>
      <w:color w:val="954F72" w:themeColor="followedHyperlink"/>
      <w:u w:val="single"/>
    </w:rPr>
  </w:style>
  <w:style w:type="character" w:styleId="Strong">
    <w:name w:val="Strong"/>
    <w:basedOn w:val="DefaultParagraphFont"/>
    <w:uiPriority w:val="22"/>
    <w:qFormat/>
    <w:rsid w:val="00FD7DB5"/>
    <w:rPr>
      <w:b/>
      <w:bCs/>
    </w:rPr>
  </w:style>
  <w:style w:type="paragraph" w:styleId="ListParagraph">
    <w:name w:val="List Paragraph"/>
    <w:basedOn w:val="Normal"/>
    <w:uiPriority w:val="34"/>
    <w:qFormat/>
    <w:rsid w:val="00FD7DB5"/>
    <w:pPr>
      <w:ind w:left="720"/>
      <w:contextualSpacing/>
    </w:pPr>
  </w:style>
  <w:style w:type="character" w:styleId="CommentReference">
    <w:name w:val="annotation reference"/>
    <w:basedOn w:val="DefaultParagraphFont"/>
    <w:uiPriority w:val="99"/>
    <w:semiHidden/>
    <w:unhideWhenUsed/>
    <w:rsid w:val="00FD7DB5"/>
    <w:rPr>
      <w:sz w:val="16"/>
      <w:szCs w:val="16"/>
    </w:rPr>
  </w:style>
  <w:style w:type="paragraph" w:styleId="CommentText">
    <w:name w:val="annotation text"/>
    <w:basedOn w:val="Normal"/>
    <w:link w:val="CommentTextChar"/>
    <w:uiPriority w:val="99"/>
    <w:unhideWhenUsed/>
    <w:rsid w:val="00FD7DB5"/>
    <w:pPr>
      <w:spacing w:line="240" w:lineRule="auto"/>
    </w:pPr>
    <w:rPr>
      <w:sz w:val="20"/>
      <w:szCs w:val="20"/>
    </w:rPr>
  </w:style>
  <w:style w:type="character" w:customStyle="1" w:styleId="CommentTextChar">
    <w:name w:val="Comment Text Char"/>
    <w:basedOn w:val="DefaultParagraphFont"/>
    <w:link w:val="CommentText"/>
    <w:uiPriority w:val="99"/>
    <w:rsid w:val="00FD7DB5"/>
    <w:rPr>
      <w:sz w:val="20"/>
      <w:szCs w:val="20"/>
    </w:rPr>
  </w:style>
  <w:style w:type="character" w:styleId="UnresolvedMention">
    <w:name w:val="Unresolved Mention"/>
    <w:basedOn w:val="DefaultParagraphFont"/>
    <w:uiPriority w:val="99"/>
    <w:semiHidden/>
    <w:unhideWhenUsed/>
    <w:rsid w:val="00621E7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202B"/>
    <w:rPr>
      <w:b/>
      <w:bCs/>
    </w:rPr>
  </w:style>
  <w:style w:type="character" w:customStyle="1" w:styleId="CommentSubjectChar">
    <w:name w:val="Comment Subject Char"/>
    <w:basedOn w:val="CommentTextChar"/>
    <w:link w:val="CommentSubject"/>
    <w:uiPriority w:val="99"/>
    <w:semiHidden/>
    <w:rsid w:val="0061202B"/>
    <w:rPr>
      <w:b/>
      <w:bCs/>
      <w:sz w:val="20"/>
      <w:szCs w:val="20"/>
    </w:rPr>
  </w:style>
  <w:style w:type="paragraph" w:styleId="Revision">
    <w:name w:val="Revision"/>
    <w:hidden/>
    <w:uiPriority w:val="99"/>
    <w:semiHidden/>
    <w:rsid w:val="00CD4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5636">
      <w:bodyDiv w:val="1"/>
      <w:marLeft w:val="0"/>
      <w:marRight w:val="0"/>
      <w:marTop w:val="0"/>
      <w:marBottom w:val="0"/>
      <w:divBdr>
        <w:top w:val="none" w:sz="0" w:space="0" w:color="auto"/>
        <w:left w:val="none" w:sz="0" w:space="0" w:color="auto"/>
        <w:bottom w:val="none" w:sz="0" w:space="0" w:color="auto"/>
        <w:right w:val="none" w:sz="0" w:space="0" w:color="auto"/>
      </w:divBdr>
    </w:div>
    <w:div w:id="628241753">
      <w:bodyDiv w:val="1"/>
      <w:marLeft w:val="0"/>
      <w:marRight w:val="0"/>
      <w:marTop w:val="0"/>
      <w:marBottom w:val="0"/>
      <w:divBdr>
        <w:top w:val="none" w:sz="0" w:space="0" w:color="auto"/>
        <w:left w:val="none" w:sz="0" w:space="0" w:color="auto"/>
        <w:bottom w:val="none" w:sz="0" w:space="0" w:color="auto"/>
        <w:right w:val="none" w:sz="0" w:space="0" w:color="auto"/>
      </w:divBdr>
    </w:div>
    <w:div w:id="1150949309">
      <w:bodyDiv w:val="1"/>
      <w:marLeft w:val="0"/>
      <w:marRight w:val="0"/>
      <w:marTop w:val="0"/>
      <w:marBottom w:val="0"/>
      <w:divBdr>
        <w:top w:val="none" w:sz="0" w:space="0" w:color="auto"/>
        <w:left w:val="none" w:sz="0" w:space="0" w:color="auto"/>
        <w:bottom w:val="none" w:sz="0" w:space="0" w:color="auto"/>
        <w:right w:val="none" w:sz="0" w:space="0" w:color="auto"/>
      </w:divBdr>
    </w:div>
    <w:div w:id="1778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qld.gov.au/system-governance/legislation/cho-public-health-directions-under-expanded-public-health-act-powers/disability-accommodation-services" TargetMode="External"/><Relationship Id="rId18" Type="http://schemas.openxmlformats.org/officeDocument/2006/relationships/hyperlink" Target="https://www.legislation.wa.gov.au/legislation/prod/gazettestore.nsf/FileURL/gg2022_064.pdf/$FILE/Gg2022_064.pdf?OpenElement" TargetMode="External"/><Relationship Id="rId26" Type="http://schemas.openxmlformats.org/officeDocument/2006/relationships/hyperlink" Target="https://www.covid19.act.gov.au/news-articles/ais-arena-covid-19-mass-vaccination-clinic-to-close-but-free-vaccines-still-available" TargetMode="External"/><Relationship Id="rId3" Type="http://schemas.openxmlformats.org/officeDocument/2006/relationships/styles" Target="styles.xml"/><Relationship Id="rId21" Type="http://schemas.openxmlformats.org/officeDocument/2006/relationships/hyperlink" Target="https://gazette.govt.nz/notice/id/2022-go186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gislation.act.gov.au/ni/2022-267/" TargetMode="External"/><Relationship Id="rId17" Type="http://schemas.openxmlformats.org/officeDocument/2006/relationships/hyperlink" Target="https://www.gazette.tas.gov.au/__data/assets/pdf_file/0015/650400/22196_-_Special_12_May_2022.pdf" TargetMode="External"/><Relationship Id="rId25" Type="http://schemas.openxmlformats.org/officeDocument/2006/relationships/hyperlink" Target="https://www.tga.gov.au/media-release/tga-removes-age-limit-bbibp-corv-sinopharm-covid-19-vaccine-recognition-international-travel-australia" TargetMode="External"/><Relationship Id="rId33" Type="http://schemas.openxmlformats.org/officeDocument/2006/relationships/hyperlink" Target="https://www.beehive.govt.nz/release/updated-my-vaccine-pass-those-who-want-it" TargetMode="External"/><Relationship Id="rId2" Type="http://schemas.openxmlformats.org/officeDocument/2006/relationships/numbering" Target="numbering.xml"/><Relationship Id="rId16" Type="http://schemas.openxmlformats.org/officeDocument/2006/relationships/hyperlink" Target="https://www.health.qld.gov.au/system-governance/legislation/cho-public-health-directions-under-expanded-public-health-act-powers/aged-care" TargetMode="External"/><Relationship Id="rId20" Type="http://schemas.openxmlformats.org/officeDocument/2006/relationships/hyperlink" Target="https://gazette.govt.nz/notice/id/2022-go1842" TargetMode="External"/><Relationship Id="rId29" Type="http://schemas.openxmlformats.org/officeDocument/2006/relationships/hyperlink" Target="https://www.coronavirus.tas.gov.au/important-community-updates/voting-options-for-people-with-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act.gov.au/ni/2022-266/" TargetMode="External"/><Relationship Id="rId24" Type="http://schemas.openxmlformats.org/officeDocument/2006/relationships/hyperlink" Target="https://www.tga.gov.au/media-release/tga-commences-evaluation-moderna-covid-19-vaccine-spikevax-children-aged-6-months-5-years-old" TargetMode="External"/><Relationship Id="rId32" Type="http://schemas.openxmlformats.org/officeDocument/2006/relationships/hyperlink" Target="https://covid19.govt.nz/news-and-data/latest-news/fully-open-border-and-immigration-changes-speed-up-economic-growth/" TargetMode="External"/><Relationship Id="rId5" Type="http://schemas.openxmlformats.org/officeDocument/2006/relationships/webSettings" Target="webSettings.xml"/><Relationship Id="rId15" Type="http://schemas.openxmlformats.org/officeDocument/2006/relationships/hyperlink" Target="https://www.health.qld.gov.au/system-governance/legislation/cho-public-health-directions-under-expanded-public-health-act-powers/requirements-workers-government-nominated-accommodation" TargetMode="External"/><Relationship Id="rId23" Type="http://schemas.openxmlformats.org/officeDocument/2006/relationships/hyperlink" Target="https://www.tga.gov.au/batch-release-assessment-covid-19-vaccines" TargetMode="External"/><Relationship Id="rId28" Type="http://schemas.openxmlformats.org/officeDocument/2006/relationships/hyperlink" Target="https://coronavirus.nt.gov.au/travel/exclusion-zones" TargetMode="External"/><Relationship Id="rId10" Type="http://schemas.openxmlformats.org/officeDocument/2006/relationships/hyperlink" Target="https://www.legislation.gov.au/Details/F2022L00702" TargetMode="External"/><Relationship Id="rId19" Type="http://schemas.openxmlformats.org/officeDocument/2006/relationships/hyperlink" Target="https://www.wa.gov.au/system/files/2022-05/Maritime-Crew-Member-Directions-No10.pdf" TargetMode="External"/><Relationship Id="rId31" Type="http://schemas.openxmlformats.org/officeDocument/2006/relationships/hyperlink" Target="https://covid19.govt.nz/news-and-data/latest-news/avoid-covid-reinfection-this-wint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alth.qld.gov.au/system-governance/legislation/cho-public-health-directions-under-expanded-public-health-act-powers/hospital-entry-direction" TargetMode="External"/><Relationship Id="rId22" Type="http://schemas.openxmlformats.org/officeDocument/2006/relationships/hyperlink" Target="https://gazette.govt.nz/notice/id/2022-go1863" TargetMode="External"/><Relationship Id="rId27" Type="http://schemas.openxmlformats.org/officeDocument/2006/relationships/hyperlink" Target="https://www.covid19.act.gov.au/news-articles/check-in-cbr-app-no-longer-mandatory,-upgraded-for-use-as-health-screening-tool" TargetMode="External"/><Relationship Id="rId30" Type="http://schemas.openxmlformats.org/officeDocument/2006/relationships/hyperlink" Target="https://www.wa.gov.au/government/announcements/drive-through-collection-sites-open-free-rats-close-contacts" TargetMode="External"/><Relationship Id="rId35" Type="http://schemas.openxmlformats.org/officeDocument/2006/relationships/theme" Target="theme/theme1.xm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51AC9-D2F3-4AE6-870E-338852F4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 Laura</dc:creator>
  <cp:keywords/>
  <dc:description/>
  <cp:lastModifiedBy>Anita Hillier</cp:lastModifiedBy>
  <cp:revision>2</cp:revision>
  <cp:lastPrinted>2015-04-22T05:15:00Z</cp:lastPrinted>
  <dcterms:created xsi:type="dcterms:W3CDTF">2022-05-18T00:18:00Z</dcterms:created>
  <dcterms:modified xsi:type="dcterms:W3CDTF">2022-05-18T00:18:00Z</dcterms:modified>
</cp:coreProperties>
</file>